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D2F76" w14:textId="77777777" w:rsidR="00C80D23" w:rsidRDefault="00C80D23"/>
    <w:p w14:paraId="5AC4170E" w14:textId="75B7CCEA" w:rsidR="00A624D8" w:rsidRPr="00884414" w:rsidRDefault="008A1D87">
      <w:pPr>
        <w:rPr>
          <w:b/>
          <w:bCs/>
          <w:sz w:val="28"/>
          <w:szCs w:val="28"/>
        </w:rPr>
      </w:pPr>
      <w:r w:rsidRPr="00884414">
        <w:rPr>
          <w:b/>
          <w:bCs/>
          <w:sz w:val="28"/>
          <w:szCs w:val="28"/>
        </w:rPr>
        <w:t>BLOOMINGDALE</w:t>
      </w:r>
      <w:r w:rsidR="00664751" w:rsidRPr="00884414">
        <w:rPr>
          <w:b/>
          <w:bCs/>
          <w:sz w:val="28"/>
          <w:szCs w:val="28"/>
        </w:rPr>
        <w:t xml:space="preserve"> BEFORE THE ROAD</w:t>
      </w:r>
    </w:p>
    <w:p w14:paraId="75CA33C5" w14:textId="48B1CEE8" w:rsidR="00586330" w:rsidRPr="00586330" w:rsidRDefault="00586330" w:rsidP="00586330">
      <w:r w:rsidRPr="00586330">
        <w:t xml:space="preserve">The Bloomingdale </w:t>
      </w:r>
      <w:r w:rsidR="0034359C">
        <w:t xml:space="preserve">district </w:t>
      </w:r>
      <w:r w:rsidRPr="00586330">
        <w:t xml:space="preserve">of colonial </w:t>
      </w:r>
      <w:r w:rsidR="0034359C">
        <w:t>New York</w:t>
      </w:r>
      <w:r w:rsidRPr="00586330">
        <w:t xml:space="preserve"> was a rough triangle of land, about 3.5 square miles in area, stretching along the Hudson River from about 42</w:t>
      </w:r>
      <w:r w:rsidRPr="00586330">
        <w:rPr>
          <w:vertAlign w:val="superscript"/>
        </w:rPr>
        <w:t>nd</w:t>
      </w:r>
      <w:r w:rsidRPr="00586330">
        <w:t xml:space="preserve"> Street to 12</w:t>
      </w:r>
      <w:r w:rsidR="00E17941">
        <w:t>9</w:t>
      </w:r>
      <w:r w:rsidRPr="00586330">
        <w:rPr>
          <w:vertAlign w:val="superscript"/>
        </w:rPr>
        <w:t>th</w:t>
      </w:r>
      <w:r w:rsidRPr="00586330">
        <w:t xml:space="preserve"> Street.  Its southern boundary was a broad creek, bordered by marshes, known as the Great Kill.  </w:t>
      </w:r>
      <w:r w:rsidR="00876F0B">
        <w:t>It was bounded on the east by the Town</w:t>
      </w:r>
      <w:r w:rsidRPr="00586330">
        <w:t xml:space="preserve"> of Harlem, a peculiar municipal entity that had been established by Peter Stuyvesant and continued by his English successors despite being entirely within the City of New York.</w:t>
      </w:r>
    </w:p>
    <w:p w14:paraId="1C572AF3" w14:textId="6EEBD12D" w:rsidR="004A5EFE" w:rsidRDefault="00664751">
      <w:r>
        <w:t xml:space="preserve">Accounts of </w:t>
      </w:r>
      <w:r w:rsidR="00747E5F">
        <w:t xml:space="preserve">the history of Bloomingdale </w:t>
      </w:r>
      <w:r>
        <w:t xml:space="preserve">rightly </w:t>
      </w:r>
      <w:r w:rsidR="00747E5F">
        <w:t>note the importance of the Bloomingdale Road</w:t>
      </w:r>
      <w:r w:rsidR="0086394C">
        <w:t xml:space="preserve">.  </w:t>
      </w:r>
      <w:r w:rsidR="00EE5BAE">
        <w:t>First l</w:t>
      </w:r>
      <w:r w:rsidR="0086394C">
        <w:t>aid out about 170</w:t>
      </w:r>
      <w:r w:rsidR="00E17941">
        <w:t>8</w:t>
      </w:r>
      <w:r w:rsidR="00721565">
        <w:t xml:space="preserve"> as part of the provincial highway system in the</w:t>
      </w:r>
      <w:r w:rsidR="00B8250B">
        <w:t xml:space="preserve"> </w:t>
      </w:r>
      <w:r w:rsidR="00721565">
        <w:t>Province of New York</w:t>
      </w:r>
      <w:r w:rsidR="0086394C">
        <w:t xml:space="preserve">, the road is credited with changing Bloomingdale from a rural backwater to </w:t>
      </w:r>
      <w:r w:rsidR="00EE5BAE">
        <w:t xml:space="preserve">a </w:t>
      </w:r>
      <w:r w:rsidR="0086394C">
        <w:t>district of fashionable country estates.  In the 19</w:t>
      </w:r>
      <w:r w:rsidR="0086394C" w:rsidRPr="0086394C">
        <w:rPr>
          <w:vertAlign w:val="superscript"/>
        </w:rPr>
        <w:t>th</w:t>
      </w:r>
      <w:r w:rsidR="0086394C">
        <w:t xml:space="preserve"> Century, </w:t>
      </w:r>
      <w:r w:rsidR="004A5EFE">
        <w:t>its prestige was such that property near the road, even far to the south</w:t>
      </w:r>
      <w:r w:rsidR="007823A4">
        <w:t xml:space="preserve">, </w:t>
      </w:r>
      <w:proofErr w:type="gramStart"/>
      <w:r w:rsidR="004A5EFE">
        <w:t>was described as being</w:t>
      </w:r>
      <w:proofErr w:type="gramEnd"/>
      <w:r w:rsidR="004A5EFE">
        <w:t xml:space="preserve"> in Bloomingdale.</w:t>
      </w:r>
      <w:r w:rsidR="00876F0B">
        <w:rPr>
          <w:rStyle w:val="FootnoteReference"/>
        </w:rPr>
        <w:footnoteReference w:id="1"/>
      </w:r>
      <w:r w:rsidR="004A5EFE">
        <w:t xml:space="preserve"> </w:t>
      </w:r>
    </w:p>
    <w:p w14:paraId="14ED5B95" w14:textId="16BA062D" w:rsidR="004A5EFE" w:rsidRDefault="004A5EFE">
      <w:r>
        <w:t>However, the</w:t>
      </w:r>
      <w:r w:rsidR="00FA5FCB">
        <w:t>re was a Bloomingdale well before the road,</w:t>
      </w:r>
      <w:r>
        <w:t xml:space="preserve"> </w:t>
      </w:r>
      <w:r w:rsidR="00FA5FCB">
        <w:t>and the creation of the road was its</w:t>
      </w:r>
      <w:r w:rsidR="00664751">
        <w:t>elf a step in a more gradual process.  This paper examines the history of Bloomingdale up to</w:t>
      </w:r>
      <w:r w:rsidR="009E5281">
        <w:t xml:space="preserve"> the period </w:t>
      </w:r>
      <w:r w:rsidR="00664751">
        <w:t>when the road was laid out</w:t>
      </w:r>
      <w:r w:rsidR="00B8250B">
        <w:t>.</w:t>
      </w:r>
    </w:p>
    <w:p w14:paraId="20283419" w14:textId="77777777" w:rsidR="007823A4" w:rsidRDefault="007823A4" w:rsidP="007823A4">
      <w:pPr>
        <w:rPr>
          <w:u w:val="single"/>
        </w:rPr>
      </w:pPr>
    </w:p>
    <w:p w14:paraId="210E0C5F" w14:textId="48718601" w:rsidR="007823A4" w:rsidRDefault="007823A4" w:rsidP="00F53CEE">
      <w:r>
        <w:rPr>
          <w:u w:val="single"/>
        </w:rPr>
        <w:t>THE CREATION OF NEW HARLEM</w:t>
      </w:r>
    </w:p>
    <w:p w14:paraId="334F0623" w14:textId="2D8C8527" w:rsidR="00F53CEE" w:rsidRDefault="00664751" w:rsidP="00F53CEE">
      <w:r>
        <w:t xml:space="preserve">The early history of Bloomingdale is closely tied to that of Harlem.  </w:t>
      </w:r>
      <w:r w:rsidR="00F53CEE">
        <w:t xml:space="preserve">Soon after the establishment of the Dutch colony, its leaders recognized the agricultural potential of the flat, fertile lands </w:t>
      </w:r>
      <w:r w:rsidR="00801980">
        <w:t>that later became Harlem.</w:t>
      </w:r>
      <w:r w:rsidR="009716DD" w:rsidRPr="009716DD">
        <w:t xml:space="preserve">  </w:t>
      </w:r>
      <w:r w:rsidR="00F53CEE">
        <w:t>In the 1630s the Dutch West India Company offered generous terms to people willing to farm there.</w:t>
      </w:r>
      <w:r w:rsidR="009716DD">
        <w:rPr>
          <w:rStyle w:val="FootnoteReference"/>
        </w:rPr>
        <w:footnoteReference w:id="2"/>
      </w:r>
      <w:r w:rsidR="00F53CEE">
        <w:t xml:space="preserve">   Several large tracts were taken up</w:t>
      </w:r>
      <w:r w:rsidR="00992190">
        <w:t xml:space="preserve">.  </w:t>
      </w:r>
      <w:r w:rsidR="00F53CEE">
        <w:t xml:space="preserve"> However, in the course of bloody conflicts with the Indians in the 1640s, </w:t>
      </w:r>
      <w:r w:rsidR="00BD0D77">
        <w:t>initially</w:t>
      </w:r>
      <w:r w:rsidR="00F53CEE">
        <w:t xml:space="preserve"> provoked by the incompetent Director of the colony, Willem </w:t>
      </w:r>
      <w:proofErr w:type="spellStart"/>
      <w:r w:rsidR="00F53CEE">
        <w:t>Kieft</w:t>
      </w:r>
      <w:proofErr w:type="spellEnd"/>
      <w:r w:rsidR="00F53CEE">
        <w:t xml:space="preserve">, many settlers were </w:t>
      </w:r>
      <w:proofErr w:type="gramStart"/>
      <w:r w:rsidR="00F53CEE">
        <w:t>killed</w:t>
      </w:r>
      <w:proofErr w:type="gramEnd"/>
      <w:r w:rsidR="00F53CEE">
        <w:t xml:space="preserve"> and </w:t>
      </w:r>
      <w:r w:rsidR="00586330">
        <w:t>the outlying</w:t>
      </w:r>
      <w:r w:rsidR="00F53CEE">
        <w:t xml:space="preserve"> farms had to be abandoned.</w:t>
      </w:r>
      <w:r w:rsidR="00F53CEE">
        <w:rPr>
          <w:rStyle w:val="FootnoteReference"/>
        </w:rPr>
        <w:footnoteReference w:id="3"/>
      </w:r>
    </w:p>
    <w:p w14:paraId="0AED686E" w14:textId="69BAAEFA" w:rsidR="00EE3548" w:rsidRDefault="00002B58" w:rsidP="00002B58">
      <w:r>
        <w:t xml:space="preserve">By 1656, conflict with the Indians had subsided to the point where </w:t>
      </w:r>
      <w:proofErr w:type="spellStart"/>
      <w:r>
        <w:t>Kieft’s</w:t>
      </w:r>
      <w:proofErr w:type="spellEnd"/>
      <w:r>
        <w:t xml:space="preserve"> successor, Peter Stuyvesant</w:t>
      </w:r>
      <w:r w:rsidR="002527AF">
        <w:t>,</w:t>
      </w:r>
      <w:r>
        <w:t xml:space="preserve"> could plan to reestablish a settlement on the abandoned lands</w:t>
      </w:r>
      <w:r w:rsidR="001E2860">
        <w:t xml:space="preserve"> in upper Manhattan and elsewhere</w:t>
      </w:r>
      <w:r w:rsidR="00E87A1C">
        <w:t>.</w:t>
      </w:r>
      <w:r>
        <w:t xml:space="preserve">  </w:t>
      </w:r>
      <w:r w:rsidR="00DC1CFE">
        <w:t xml:space="preserve">Stuyvesant recognized that large individual farms would not be defensible.  He therefore </w:t>
      </w:r>
      <w:r w:rsidR="00592292">
        <w:t>requir</w:t>
      </w:r>
      <w:r w:rsidR="00EE3548">
        <w:t xml:space="preserve">ed, in an ordinance dated </w:t>
      </w:r>
      <w:r w:rsidR="001E2860">
        <w:t>January 18, 1656,</w:t>
      </w:r>
      <w:r w:rsidR="00EE3548">
        <w:t xml:space="preserve"> </w:t>
      </w:r>
      <w:r w:rsidR="00DC1CFE">
        <w:t>that settlers live in a compact village</w:t>
      </w:r>
      <w:r w:rsidR="001E2860">
        <w:t>s.</w:t>
      </w:r>
      <w:r w:rsidR="001E2860">
        <w:rPr>
          <w:rStyle w:val="FootnoteReference"/>
        </w:rPr>
        <w:footnoteReference w:id="4"/>
      </w:r>
      <w:r w:rsidR="001E2860">
        <w:t xml:space="preserve">   This policy was reflected in the </w:t>
      </w:r>
      <w:r w:rsidR="00522C16">
        <w:t xml:space="preserve">grant or </w:t>
      </w:r>
      <w:r w:rsidR="001E2860">
        <w:t>ordinance of</w:t>
      </w:r>
      <w:r w:rsidR="00027010">
        <w:t xml:space="preserve"> March 4, 1658, establishing a new settlement “at the end of Manhattan Island</w:t>
      </w:r>
      <w:r w:rsidR="00F47FF2">
        <w:t>.</w:t>
      </w:r>
      <w:r w:rsidR="007C1F5D">
        <w:rPr>
          <w:rStyle w:val="FootnoteReference"/>
        </w:rPr>
        <w:footnoteReference w:id="5"/>
      </w:r>
      <w:r w:rsidR="00592292">
        <w:t xml:space="preserve">  </w:t>
      </w:r>
      <w:r w:rsidR="00522C16">
        <w:t>It</w:t>
      </w:r>
      <w:r w:rsidR="00EE3548">
        <w:t xml:space="preserve"> refers to the settlement only as a “New Village,” b</w:t>
      </w:r>
      <w:r>
        <w:t xml:space="preserve">ut by the fall of that year it was referred to </w:t>
      </w:r>
      <w:r>
        <w:lastRenderedPageBreak/>
        <w:t xml:space="preserve">in official documents as the </w:t>
      </w:r>
      <w:r w:rsidR="00614CFE">
        <w:t xml:space="preserve">new </w:t>
      </w:r>
      <w:r>
        <w:t xml:space="preserve">Village of Harlem </w:t>
      </w:r>
      <w:r w:rsidR="002709E4">
        <w:t>or New Harlem</w:t>
      </w:r>
      <w:r w:rsidR="00F47FF2">
        <w:t>.</w:t>
      </w:r>
      <w:r w:rsidR="00F47FF2">
        <w:rPr>
          <w:rStyle w:val="FootnoteReference"/>
        </w:rPr>
        <w:footnoteReference w:id="6"/>
      </w:r>
      <w:r>
        <w:t xml:space="preserve"> </w:t>
      </w:r>
      <w:r w:rsidR="00614CFE">
        <w:t xml:space="preserve">As built, the </w:t>
      </w:r>
      <w:r w:rsidR="002709E4">
        <w:t xml:space="preserve">village of </w:t>
      </w:r>
      <w:r w:rsidR="00614CFE">
        <w:t xml:space="preserve">New Harlem was located around the present </w:t>
      </w:r>
      <w:r w:rsidR="00D1125B">
        <w:t>125th</w:t>
      </w:r>
      <w:r w:rsidR="00614CFE">
        <w:t xml:space="preserve"> </w:t>
      </w:r>
      <w:r w:rsidR="00D1125B">
        <w:t>Street</w:t>
      </w:r>
      <w:r w:rsidR="007514BB">
        <w:t xml:space="preserve"> and </w:t>
      </w:r>
      <w:r w:rsidR="00D1125B">
        <w:t>First Avenue.</w:t>
      </w:r>
      <w:r w:rsidR="007514BB">
        <w:rPr>
          <w:rStyle w:val="FootnoteReference"/>
        </w:rPr>
        <w:footnoteReference w:id="7"/>
      </w:r>
      <w:r w:rsidR="00A447A8">
        <w:t xml:space="preserve"> </w:t>
      </w:r>
    </w:p>
    <w:p w14:paraId="70190FF7" w14:textId="614B6F14" w:rsidR="0058571B" w:rsidRDefault="00002B58" w:rsidP="00002B58">
      <w:r>
        <w:t xml:space="preserve">The Stuyvesant grant gave </w:t>
      </w:r>
      <w:r w:rsidR="0058571B">
        <w:t xml:space="preserve">New </w:t>
      </w:r>
      <w:r>
        <w:t>Harlem certain characteristics of a municipality, notably the right to have its own local court and magistrates</w:t>
      </w:r>
      <w:r w:rsidR="002709E4">
        <w:t>, and control over the unallotted land within its boundaries</w:t>
      </w:r>
      <w:r w:rsidR="00D1125B">
        <w:t>.</w:t>
      </w:r>
      <w:r>
        <w:t xml:space="preserve"> </w:t>
      </w:r>
      <w:r w:rsidR="0058571B">
        <w:t xml:space="preserve">However, it did not </w:t>
      </w:r>
      <w:r w:rsidR="00383EE5">
        <w:t xml:space="preserve">clearly </w:t>
      </w:r>
      <w:r w:rsidR="0058571B">
        <w:t xml:space="preserve">define </w:t>
      </w:r>
      <w:r w:rsidR="002709E4">
        <w:t xml:space="preserve">those </w:t>
      </w:r>
      <w:r w:rsidR="0058571B">
        <w:t xml:space="preserve">boundaries.  </w:t>
      </w:r>
      <w:r w:rsidR="00522C16">
        <w:t>It</w:t>
      </w:r>
      <w:r w:rsidR="00950CAE">
        <w:t xml:space="preserve"> also promised to protect New Harlem from the establishment of any new village that would compete with it</w:t>
      </w:r>
      <w:r w:rsidR="00522C16">
        <w:t>, and further promised that a “wagon road” would be built between the new village and New Amsterdam.</w:t>
      </w:r>
    </w:p>
    <w:p w14:paraId="2D5C4AE8" w14:textId="7F393ADA" w:rsidR="00667564" w:rsidRPr="002709E4" w:rsidRDefault="00667564" w:rsidP="00002B58">
      <w:pPr>
        <w:rPr>
          <w:u w:val="single"/>
        </w:rPr>
      </w:pPr>
      <w:r w:rsidRPr="002709E4">
        <w:rPr>
          <w:u w:val="single"/>
        </w:rPr>
        <w:t>The First Nicolls Charter</w:t>
      </w:r>
      <w:r w:rsidR="004709AE">
        <w:rPr>
          <w:u w:val="single"/>
        </w:rPr>
        <w:t xml:space="preserve"> for New Harlem</w:t>
      </w:r>
    </w:p>
    <w:p w14:paraId="2CC4B743" w14:textId="1F733888" w:rsidR="00657169" w:rsidRDefault="00002B58" w:rsidP="00002B58">
      <w:r>
        <w:t>Eight years later</w:t>
      </w:r>
      <w:r w:rsidR="004E12C0">
        <w:t>, in May 1666</w:t>
      </w:r>
      <w:r w:rsidR="00657169">
        <w:t xml:space="preserve">, </w:t>
      </w:r>
      <w:r w:rsidR="0058571B">
        <w:t xml:space="preserve">New Harlem’s municipal rights were </w:t>
      </w:r>
      <w:r>
        <w:t xml:space="preserve">confirmed and expanded in a grant by the English governor Richard Nicolls.  This document </w:t>
      </w:r>
      <w:r w:rsidR="009F1088">
        <w:t>gave</w:t>
      </w:r>
      <w:r>
        <w:t xml:space="preserve"> </w:t>
      </w:r>
      <w:r w:rsidR="009D5455">
        <w:t>New Harlem</w:t>
      </w:r>
      <w:r w:rsidR="00BD0D77">
        <w:rPr>
          <w:rStyle w:val="FootnoteReference"/>
        </w:rPr>
        <w:footnoteReference w:id="8"/>
      </w:r>
      <w:r w:rsidR="00BD0D77">
        <w:t xml:space="preserve"> </w:t>
      </w:r>
      <w:r>
        <w:t xml:space="preserve">the peculiar status of having “the privileges of a Towne, but immediately depending on this City [New York] as being within the </w:t>
      </w:r>
      <w:proofErr w:type="spellStart"/>
      <w:r>
        <w:t>Libertyes</w:t>
      </w:r>
      <w:proofErr w:type="spellEnd"/>
      <w:r>
        <w:t xml:space="preserve"> thereof.”</w:t>
      </w:r>
      <w:r w:rsidR="00F47FF2">
        <w:rPr>
          <w:rStyle w:val="FootnoteReference"/>
        </w:rPr>
        <w:footnoteReference w:id="9"/>
      </w:r>
      <w:r>
        <w:t xml:space="preserve">  </w:t>
      </w:r>
      <w:r w:rsidR="005B70EE">
        <w:t xml:space="preserve"> </w:t>
      </w:r>
    </w:p>
    <w:p w14:paraId="33057A28" w14:textId="2E11BE6F" w:rsidR="000F4E59" w:rsidRDefault="00002B58" w:rsidP="00002B58">
      <w:r>
        <w:t xml:space="preserve">The Nicolls </w:t>
      </w:r>
      <w:r w:rsidR="00BD0D77">
        <w:t>charter</w:t>
      </w:r>
      <w:r>
        <w:t xml:space="preserve"> </w:t>
      </w:r>
      <w:r w:rsidR="009F1088">
        <w:t xml:space="preserve">also </w:t>
      </w:r>
      <w:r>
        <w:t xml:space="preserve">defined the </w:t>
      </w:r>
      <w:r w:rsidR="00657169">
        <w:t>western</w:t>
      </w:r>
      <w:r>
        <w:t xml:space="preserve"> boundary </w:t>
      </w:r>
      <w:r w:rsidR="00783D01">
        <w:t>of</w:t>
      </w:r>
      <w:r>
        <w:t xml:space="preserve"> </w:t>
      </w:r>
      <w:r w:rsidR="00BD0D77">
        <w:t>the town</w:t>
      </w:r>
      <w:r>
        <w:t xml:space="preserve"> as a line extending </w:t>
      </w:r>
      <w:r w:rsidR="004709AE">
        <w:t xml:space="preserve">due south </w:t>
      </w:r>
      <w:r>
        <w:t>from the Hudson River, at what is now the foot of West 129th</w:t>
      </w:r>
      <w:r w:rsidRPr="002F66C3">
        <w:rPr>
          <w:vertAlign w:val="superscript"/>
        </w:rPr>
        <w:t>th</w:t>
      </w:r>
      <w:r>
        <w:t xml:space="preserve"> St., to the East River at what is now East 74</w:t>
      </w:r>
      <w:r w:rsidRPr="002F66C3">
        <w:rPr>
          <w:vertAlign w:val="superscript"/>
        </w:rPr>
        <w:t>th</w:t>
      </w:r>
      <w:r>
        <w:t xml:space="preserve"> St.  The Town of </w:t>
      </w:r>
      <w:r w:rsidR="004709AE">
        <w:t xml:space="preserve">New </w:t>
      </w:r>
      <w:r>
        <w:t xml:space="preserve">Harlem was given jurisdiction over everything east of that line to the end of the island at </w:t>
      </w:r>
      <w:proofErr w:type="spellStart"/>
      <w:r>
        <w:t>Spuyten</w:t>
      </w:r>
      <w:proofErr w:type="spellEnd"/>
      <w:r>
        <w:t xml:space="preserve"> Duyvil.</w:t>
      </w:r>
      <w:r w:rsidR="00383EE5">
        <w:rPr>
          <w:rStyle w:val="FootnoteReference"/>
        </w:rPr>
        <w:footnoteReference w:id="10"/>
      </w:r>
      <w:r w:rsidR="000F4E59">
        <w:t xml:space="preserve"> </w:t>
      </w:r>
    </w:p>
    <w:p w14:paraId="52C16F54" w14:textId="2D03DCE1" w:rsidR="00872E80" w:rsidRDefault="000F4E59" w:rsidP="00002B58">
      <w:r>
        <w:t xml:space="preserve">In addition to its municipal rights within its boundaries. New Harlem was given </w:t>
      </w:r>
      <w:r w:rsidR="008821DF">
        <w:t xml:space="preserve">some very important additional rights over </w:t>
      </w:r>
      <w:r>
        <w:t xml:space="preserve">the adjoining land. </w:t>
      </w:r>
      <w:r w:rsidR="008821DF">
        <w:t xml:space="preserve">  </w:t>
      </w:r>
      <w:r w:rsidR="00E551AF">
        <w:t>Nicolls wrote: “</w:t>
      </w:r>
      <w:r w:rsidR="009F1088">
        <w:t>the Inhabitants of the said Towne</w:t>
      </w:r>
      <w:r w:rsidR="00E551AF">
        <w:t>,</w:t>
      </w:r>
      <w:r w:rsidR="009F1088">
        <w:t xml:space="preserve"> shall have Liberty</w:t>
      </w:r>
      <w:r w:rsidR="008821DF">
        <w:t xml:space="preserve"> for the conveniency of more Range for their Horses &amp; Cattle, to go farther west into the woods beyond the aforesaid </w:t>
      </w:r>
      <w:r w:rsidR="00E551AF">
        <w:t>Bounds</w:t>
      </w:r>
      <w:r w:rsidR="008821DF">
        <w:t>, as they shall ha</w:t>
      </w:r>
      <w:r w:rsidR="00E551AF">
        <w:t>ve occasio</w:t>
      </w:r>
      <w:r w:rsidR="00CC3571">
        <w:t xml:space="preserve">n.  </w:t>
      </w:r>
      <w:r w:rsidR="00E551AF">
        <w:t xml:space="preserve"> And no Person shall </w:t>
      </w:r>
      <w:proofErr w:type="spellStart"/>
      <w:r w:rsidR="00E551AF">
        <w:t>bee</w:t>
      </w:r>
      <w:proofErr w:type="spellEnd"/>
      <w:r w:rsidR="00E551AF">
        <w:t xml:space="preserve"> permitted to Build in any manner of House or Houses within two Miles of the aforesaid </w:t>
      </w:r>
      <w:proofErr w:type="spellStart"/>
      <w:r w:rsidR="00E551AF">
        <w:t>Limitts</w:t>
      </w:r>
      <w:proofErr w:type="spellEnd"/>
      <w:r w:rsidR="00E551AF">
        <w:t xml:space="preserve"> or Bounds of the said Towne without the Consent of the Inhabitants thereof.”  </w:t>
      </w:r>
      <w:r w:rsidR="00CC3571">
        <w:t>This provision</w:t>
      </w:r>
      <w:r w:rsidR="00950CAE">
        <w:t xml:space="preserve"> was intended to make explicit Stuyvesant’s promise of protection from competing settlements.</w:t>
      </w:r>
    </w:p>
    <w:p w14:paraId="29B7A3AE" w14:textId="3E134BE8" w:rsidR="009D5455" w:rsidRDefault="00872E80" w:rsidP="00002B58">
      <w:r>
        <w:t xml:space="preserve">Thus, the freeholders of Harlem were, at least on paper, given veto power over the future development of a large swath of Manhattan Island </w:t>
      </w:r>
      <w:r w:rsidR="008E5208">
        <w:t>outside their boundaries.  This amounted</w:t>
      </w:r>
      <w:r>
        <w:t xml:space="preserve"> to about</w:t>
      </w:r>
      <w:r w:rsidR="00C80D23">
        <w:t xml:space="preserve"> </w:t>
      </w:r>
      <w:proofErr w:type="gramStart"/>
      <w:r>
        <w:t>four</w:t>
      </w:r>
      <w:r w:rsidR="00C80D23">
        <w:t xml:space="preserve"> </w:t>
      </w:r>
      <w:r>
        <w:t>square</w:t>
      </w:r>
      <w:proofErr w:type="gramEnd"/>
      <w:r>
        <w:t xml:space="preserve"> miles, including most of what later became Bloomingdale.</w:t>
      </w:r>
    </w:p>
    <w:p w14:paraId="4E347622" w14:textId="2A83896E" w:rsidR="00667564" w:rsidRPr="008E5208" w:rsidRDefault="00667564" w:rsidP="00002B58">
      <w:pPr>
        <w:rPr>
          <w:u w:val="single"/>
        </w:rPr>
      </w:pPr>
      <w:r w:rsidRPr="008E5208">
        <w:rPr>
          <w:u w:val="single"/>
        </w:rPr>
        <w:t>The Revised Nicolls Charter</w:t>
      </w:r>
      <w:r w:rsidR="00C8136A">
        <w:rPr>
          <w:u w:val="single"/>
        </w:rPr>
        <w:t xml:space="preserve"> for New Harlem</w:t>
      </w:r>
    </w:p>
    <w:p w14:paraId="2C8C1785" w14:textId="29036681" w:rsidR="00667564" w:rsidRDefault="00C741EB" w:rsidP="00002B58">
      <w:r>
        <w:t xml:space="preserve">Seventeen </w:t>
      </w:r>
      <w:r w:rsidR="00667564">
        <w:t>months later, on October 11, 166</w:t>
      </w:r>
      <w:r>
        <w:t>7</w:t>
      </w:r>
      <w:r w:rsidR="00CC3571">
        <w:rPr>
          <w:rStyle w:val="FootnoteReference"/>
        </w:rPr>
        <w:footnoteReference w:id="11"/>
      </w:r>
      <w:r w:rsidR="00667564">
        <w:t xml:space="preserve"> Nicolls issued a revised charter </w:t>
      </w:r>
      <w:r w:rsidR="004A706B">
        <w:t>that must have involved some horse-trading.</w:t>
      </w:r>
      <w:r w:rsidR="00667564">
        <w:t xml:space="preserve">  First, it enlarged the town’s jurisdiction by adding the islands in the vicinity of Hell Gate, i.e.</w:t>
      </w:r>
      <w:r w:rsidR="00783D01">
        <w:t xml:space="preserve">, </w:t>
      </w:r>
      <w:proofErr w:type="spellStart"/>
      <w:r w:rsidR="00F73201">
        <w:t>Randalls</w:t>
      </w:r>
      <w:proofErr w:type="spellEnd"/>
      <w:r w:rsidR="00F73201">
        <w:t xml:space="preserve">, Wards, </w:t>
      </w:r>
      <w:r w:rsidR="004A706B">
        <w:t xml:space="preserve">and another nearby island that is now part of the Bronx mainland.  Second, </w:t>
      </w:r>
      <w:r w:rsidR="004A706B">
        <w:lastRenderedPageBreak/>
        <w:t>Nicolls agreed that the town “shall continue &amp; retain the name of New Harlem.</w:t>
      </w:r>
      <w:r w:rsidR="008E5208">
        <w:t>”</w:t>
      </w:r>
      <w:r w:rsidR="004A706B">
        <w:t xml:space="preserve">  The provision about grazing animals beyond the Town limit was changed to refer to </w:t>
      </w:r>
      <w:r w:rsidR="00495A92">
        <w:t>“</w:t>
      </w:r>
      <w:r w:rsidR="004A706B">
        <w:t>freedom of commonage</w:t>
      </w:r>
      <w:r w:rsidR="00495A92">
        <w:t xml:space="preserve"> for range &amp; feed of Cattle &amp; Horses,” which would appear to limit this right to the Common Lands, </w:t>
      </w:r>
      <w:proofErr w:type="gramStart"/>
      <w:r w:rsidR="00495A92">
        <w:t>i.e.</w:t>
      </w:r>
      <w:proofErr w:type="gramEnd"/>
      <w:r w:rsidR="00495A92">
        <w:t xml:space="preserve"> lands not yet in private ownership.  The new charter retained the right to block new construction within two miles of the</w:t>
      </w:r>
      <w:r w:rsidR="00D45D80">
        <w:t xml:space="preserve"> town</w:t>
      </w:r>
      <w:r w:rsidR="00495A92">
        <w:t xml:space="preserve"> line, but now specified</w:t>
      </w:r>
      <w:r>
        <w:t xml:space="preserve"> that permission </w:t>
      </w:r>
      <w:r w:rsidR="00D45D80">
        <w:t xml:space="preserve">for such construction </w:t>
      </w:r>
      <w:r>
        <w:t xml:space="preserve">required consent of </w:t>
      </w:r>
      <w:proofErr w:type="gramStart"/>
      <w:r>
        <w:t>a majority of</w:t>
      </w:r>
      <w:proofErr w:type="gramEnd"/>
      <w:r>
        <w:t xml:space="preserve"> the inhabitants.</w:t>
      </w:r>
      <w:r w:rsidR="00783D01">
        <w:rPr>
          <w:rStyle w:val="FootnoteReference"/>
        </w:rPr>
        <w:footnoteReference w:id="12"/>
      </w:r>
      <w:r w:rsidR="00CC3571">
        <w:t xml:space="preserve"> </w:t>
      </w:r>
    </w:p>
    <w:p w14:paraId="49A37F9A" w14:textId="21FA25EE" w:rsidR="00CC3571" w:rsidRDefault="00CC3571" w:rsidP="00002B58">
      <w:r>
        <w:t xml:space="preserve">We do not know whether the </w:t>
      </w:r>
      <w:r w:rsidR="00950CAE">
        <w:t>i</w:t>
      </w:r>
      <w:r>
        <w:t xml:space="preserve">nhabitants of New Harlem ever </w:t>
      </w:r>
      <w:r w:rsidR="00636EA5">
        <w:t xml:space="preserve">tried to </w:t>
      </w:r>
      <w:r>
        <w:t>exercise their right to block</w:t>
      </w:r>
      <w:r w:rsidR="00950CAE">
        <w:t xml:space="preserve"> construction west of the Harlem line</w:t>
      </w:r>
      <w:r w:rsidR="0041385F">
        <w:t>.</w:t>
      </w:r>
      <w:r w:rsidR="00950CAE">
        <w:t xml:space="preserve"> </w:t>
      </w:r>
      <w:r w:rsidR="00733EB1">
        <w:t xml:space="preserve"> Nevertheless, the provisions of the</w:t>
      </w:r>
      <w:r w:rsidR="00DC27B5">
        <w:t xml:space="preserve">ir successive </w:t>
      </w:r>
      <w:r w:rsidR="00733EB1">
        <w:t xml:space="preserve">patents </w:t>
      </w:r>
      <w:r w:rsidR="00DC27B5">
        <w:t xml:space="preserve">from Gov. Nicolls </w:t>
      </w:r>
      <w:r w:rsidR="00733EB1">
        <w:t xml:space="preserve">suggest that </w:t>
      </w:r>
      <w:r w:rsidR="00565C78">
        <w:t>they</w:t>
      </w:r>
      <w:r w:rsidR="00733EB1">
        <w:t xml:space="preserve"> </w:t>
      </w:r>
      <w:r w:rsidR="00DC27B5">
        <w:t xml:space="preserve">had a keen interest in </w:t>
      </w:r>
      <w:r w:rsidR="009226F1">
        <w:t xml:space="preserve">the land west of the Harlem Line beyond being </w:t>
      </w:r>
      <w:r w:rsidR="00DC27B5">
        <w:t>a place to graze their livestock</w:t>
      </w:r>
      <w:r w:rsidR="009226F1">
        <w:t xml:space="preserve">.   Settlement west of the line </w:t>
      </w:r>
      <w:r w:rsidR="00383EE5">
        <w:t>could give rise to a competing community</w:t>
      </w:r>
      <w:r w:rsidR="00C80D23">
        <w:t xml:space="preserve">. On the other hand, </w:t>
      </w:r>
      <w:r w:rsidR="00383EE5">
        <w:t xml:space="preserve">additional population would benefit New Harlem’s economy and institutions. </w:t>
      </w:r>
    </w:p>
    <w:p w14:paraId="17987032" w14:textId="77777777" w:rsidR="0041385F" w:rsidRDefault="0041385F" w:rsidP="00002B58"/>
    <w:p w14:paraId="527A3568" w14:textId="05A8DD50" w:rsidR="005E67AD" w:rsidRDefault="001D568D">
      <w:pPr>
        <w:rPr>
          <w:u w:val="single"/>
        </w:rPr>
      </w:pPr>
      <w:r>
        <w:rPr>
          <w:u w:val="single"/>
        </w:rPr>
        <w:t>THE PEOPLING OF BLOOMINGDALE</w:t>
      </w:r>
    </w:p>
    <w:p w14:paraId="3A3EFCB0" w14:textId="6D970499" w:rsidR="0041385F" w:rsidRPr="003F127B" w:rsidRDefault="0041385F">
      <w:pPr>
        <w:rPr>
          <w:u w:val="single"/>
        </w:rPr>
      </w:pPr>
      <w:r>
        <w:rPr>
          <w:u w:val="single"/>
        </w:rPr>
        <w:t>The Syndicate’s Grant</w:t>
      </w:r>
    </w:p>
    <w:p w14:paraId="424674FC" w14:textId="021E6202" w:rsidR="009C18B1" w:rsidRDefault="004B6A78" w:rsidP="009C18B1">
      <w:r>
        <w:t xml:space="preserve">At the time of the </w:t>
      </w:r>
      <w:r w:rsidR="009C18B1">
        <w:t xml:space="preserve">English </w:t>
      </w:r>
      <w:r>
        <w:t xml:space="preserve">conquest of the </w:t>
      </w:r>
      <w:r w:rsidR="009C18B1">
        <w:t xml:space="preserve">New Netherlands in 1664, there was no European settlement in the area </w:t>
      </w:r>
      <w:r w:rsidR="00655974">
        <w:t>that is now the Upper West Side</w:t>
      </w:r>
      <w:r w:rsidR="007124FD">
        <w:t xml:space="preserve"> of Manhattan</w:t>
      </w:r>
      <w:r w:rsidR="00655974">
        <w:t xml:space="preserve">. </w:t>
      </w:r>
      <w:r w:rsidR="009C18B1">
        <w:t xml:space="preserve">The Dutch West India Company had made no </w:t>
      </w:r>
      <w:r>
        <w:t xml:space="preserve">permanent </w:t>
      </w:r>
      <w:r w:rsidR="009C18B1">
        <w:t>grants of land along the East River north of Turtle Bay (about the present 47</w:t>
      </w:r>
      <w:r w:rsidR="009C18B1" w:rsidRPr="00D25B7B">
        <w:rPr>
          <w:vertAlign w:val="superscript"/>
        </w:rPr>
        <w:t>th</w:t>
      </w:r>
      <w:r w:rsidR="009C18B1">
        <w:t xml:space="preserve"> St.) and no grants along the Hudson River north of the Great Kill, </w:t>
      </w:r>
      <w:r w:rsidR="00E17941">
        <w:t>the</w:t>
      </w:r>
      <w:r w:rsidR="009C18B1">
        <w:t xml:space="preserve"> broad creek that flowed into the Hudson near the foot of the present 42</w:t>
      </w:r>
      <w:r w:rsidR="009C18B1" w:rsidRPr="00D25B7B">
        <w:rPr>
          <w:vertAlign w:val="superscript"/>
        </w:rPr>
        <w:t>nd</w:t>
      </w:r>
      <w:r w:rsidR="009C18B1">
        <w:t xml:space="preserve"> St.</w:t>
      </w:r>
      <w:r w:rsidR="00783D01">
        <w:rPr>
          <w:rStyle w:val="FootnoteReference"/>
        </w:rPr>
        <w:footnoteReference w:id="13"/>
      </w:r>
      <w:r w:rsidR="00B5390F">
        <w:rPr>
          <w:vertAlign w:val="superscript"/>
        </w:rPr>
        <w:t>,</w:t>
      </w:r>
      <w:r w:rsidR="009C18B1">
        <w:t xml:space="preserve"> </w:t>
      </w:r>
      <w:r>
        <w:rPr>
          <w:rStyle w:val="FootnoteReference"/>
        </w:rPr>
        <w:footnoteReference w:id="14"/>
      </w:r>
    </w:p>
    <w:p w14:paraId="084E2471" w14:textId="56BD01F4" w:rsidR="003F127B" w:rsidRDefault="00293E58" w:rsidP="00171696">
      <w:r>
        <w:t xml:space="preserve">On October 3, 1667, eight days before his revised grant to the freeholders of New Harlem, </w:t>
      </w:r>
      <w:r w:rsidR="00171696">
        <w:t xml:space="preserve">Governor Richard Nicolls conveyed a large tract north of the Great Kill to a syndicate of five men:  Johannes van </w:t>
      </w:r>
      <w:proofErr w:type="spellStart"/>
      <w:r w:rsidR="00171696">
        <w:t>Brugh</w:t>
      </w:r>
      <w:proofErr w:type="spellEnd"/>
      <w:r w:rsidR="00171696">
        <w:t xml:space="preserve">, Thomas Hall, John </w:t>
      </w:r>
      <w:proofErr w:type="spellStart"/>
      <w:r w:rsidR="00171696">
        <w:t>Vigne</w:t>
      </w:r>
      <w:proofErr w:type="spellEnd"/>
      <w:r w:rsidR="00171696">
        <w:t xml:space="preserve">, Egbert </w:t>
      </w:r>
      <w:proofErr w:type="spellStart"/>
      <w:r w:rsidR="00171696">
        <w:t>Wouters</w:t>
      </w:r>
      <w:proofErr w:type="spellEnd"/>
      <w:r w:rsidR="00171696">
        <w:t xml:space="preserve">, and Jacob </w:t>
      </w:r>
      <w:proofErr w:type="spellStart"/>
      <w:r w:rsidR="00171696">
        <w:t>Leenderts</w:t>
      </w:r>
      <w:proofErr w:type="spellEnd"/>
      <w:r w:rsidR="00F26EC8">
        <w:t xml:space="preserve"> van der Grift</w:t>
      </w:r>
      <w:r w:rsidR="00171696">
        <w:t xml:space="preserve">.  The tract stretched along the Hudson from the Great Kill northward 13,200 feet and back into the woods for </w:t>
      </w:r>
      <w:proofErr w:type="gramStart"/>
      <w:r w:rsidR="00171696">
        <w:t>a distance of 4,125</w:t>
      </w:r>
      <w:proofErr w:type="gramEnd"/>
      <w:r w:rsidR="00171696">
        <w:t xml:space="preserve"> feet, containing in all 1,300 acres or a little more than two square miles.</w:t>
      </w:r>
      <w:r w:rsidR="0021637B">
        <w:rPr>
          <w:rStyle w:val="FootnoteReference"/>
        </w:rPr>
        <w:footnoteReference w:id="15"/>
      </w:r>
      <w:r w:rsidR="00171696">
        <w:t xml:space="preserve"> </w:t>
      </w:r>
      <w:r w:rsidR="0041385F">
        <w:t xml:space="preserve"> </w:t>
      </w:r>
      <w:r w:rsidR="003F127B">
        <w:t>This was the first and largest of several grants that conveyed Bloomingdale into private ownership.</w:t>
      </w:r>
      <w:r w:rsidR="0041385F">
        <w:t xml:space="preserve">  (See map on following page</w:t>
      </w:r>
    </w:p>
    <w:p w14:paraId="51C9AF51" w14:textId="77777777" w:rsidR="0041385F" w:rsidRDefault="003F127B" w:rsidP="00934423">
      <w:r>
        <w:t>None of the syndicate’s five members planned to spend much time behind a plow.  All were wealthy or at least well off. Most had held public offices under the Dutch or English or both.  Most had ties of business, blood, or marriage to some of the most powerful people in the colony</w:t>
      </w:r>
      <w:r w:rsidR="00F2115F">
        <w:t xml:space="preserve">. </w:t>
      </w:r>
      <w:r w:rsidR="00F2115F" w:rsidRPr="00F2115F">
        <w:t xml:space="preserve"> Van </w:t>
      </w:r>
      <w:proofErr w:type="spellStart"/>
      <w:r w:rsidR="00F2115F" w:rsidRPr="00F2115F">
        <w:t>Brugh</w:t>
      </w:r>
      <w:proofErr w:type="spellEnd"/>
      <w:r w:rsidR="00F2115F" w:rsidRPr="00F2115F">
        <w:t xml:space="preserve"> was a </w:t>
      </w:r>
    </w:p>
    <w:p w14:paraId="59E9D3FB" w14:textId="2DC50EBA" w:rsidR="0041385F" w:rsidRDefault="0041385F" w:rsidP="00934423">
      <w:r>
        <w:rPr>
          <w:noProof/>
        </w:rPr>
        <w:lastRenderedPageBreak/>
        <w:drawing>
          <wp:inline distT="0" distB="0" distL="0" distR="0" wp14:anchorId="7178BED7" wp14:editId="0B53ED58">
            <wp:extent cx="3342640" cy="82296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2640" cy="8229600"/>
                    </a:xfrm>
                    <a:prstGeom prst="rect">
                      <a:avLst/>
                    </a:prstGeom>
                    <a:noFill/>
                    <a:ln>
                      <a:noFill/>
                    </a:ln>
                  </pic:spPr>
                </pic:pic>
              </a:graphicData>
            </a:graphic>
          </wp:inline>
        </w:drawing>
      </w:r>
    </w:p>
    <w:p w14:paraId="73405732" w14:textId="0DB4106E" w:rsidR="00934423" w:rsidRDefault="00F2115F" w:rsidP="00934423">
      <w:r w:rsidRPr="00F2115F">
        <w:lastRenderedPageBreak/>
        <w:t>wealthy brewer</w:t>
      </w:r>
      <w:r w:rsidR="003F127B">
        <w:t>.</w:t>
      </w:r>
      <w:r w:rsidR="00857EC9">
        <w:rPr>
          <w:rStyle w:val="FootnoteReference"/>
        </w:rPr>
        <w:footnoteReference w:id="16"/>
      </w:r>
      <w:r w:rsidR="003F127B">
        <w:t xml:space="preserve"> </w:t>
      </w:r>
      <w:r>
        <w:t xml:space="preserve"> </w:t>
      </w:r>
      <w:r w:rsidR="00934423" w:rsidRPr="00F2115F">
        <w:t xml:space="preserve">Jean </w:t>
      </w:r>
      <w:proofErr w:type="spellStart"/>
      <w:r w:rsidR="00934423" w:rsidRPr="00F2115F">
        <w:t>Vigne</w:t>
      </w:r>
      <w:proofErr w:type="spellEnd"/>
      <w:r w:rsidR="00934423" w:rsidRPr="00F2115F">
        <w:t xml:space="preserve">, also a brewer, was the stepson of Stuyvesant’s agent Jan Jansen Damen and the brother-in-law </w:t>
      </w:r>
      <w:r w:rsidR="0021637B">
        <w:t>of</w:t>
      </w:r>
      <w:r w:rsidR="00934423" w:rsidRPr="00F2115F">
        <w:t xml:space="preserve"> Cornelis van </w:t>
      </w:r>
      <w:proofErr w:type="spellStart"/>
      <w:r w:rsidR="00934423" w:rsidRPr="00F2115F">
        <w:t>Tienhoven</w:t>
      </w:r>
      <w:proofErr w:type="spellEnd"/>
      <w:r w:rsidR="00934423" w:rsidRPr="00F2115F">
        <w:t xml:space="preserve">, </w:t>
      </w:r>
      <w:r w:rsidR="0021637B">
        <w:t xml:space="preserve">once </w:t>
      </w:r>
      <w:r w:rsidR="00934423" w:rsidRPr="00F2115F">
        <w:t>the powerful secretary of the Dutch West India Company.</w:t>
      </w:r>
      <w:r>
        <w:rPr>
          <w:rStyle w:val="FootnoteReference"/>
        </w:rPr>
        <w:footnoteReference w:id="17"/>
      </w:r>
      <w:r w:rsidR="00934423" w:rsidRPr="00F2115F">
        <w:t xml:space="preserve">  Thomas Hall and his fellow Englishman George Holmes were brought to New Amsterdam as prisoners in 1635 after a failed attempt by Virginia to seize a Dutch outpost on the Delaware.  They were the first Englishmen in the colony. The two eventually became trusted agents of van </w:t>
      </w:r>
      <w:proofErr w:type="spellStart"/>
      <w:r w:rsidR="00934423" w:rsidRPr="00F2115F">
        <w:t>Twiller</w:t>
      </w:r>
      <w:proofErr w:type="spellEnd"/>
      <w:r w:rsidR="00934423" w:rsidRPr="00F2115F">
        <w:t xml:space="preserve">; managed his plantations, and later became wealthy </w:t>
      </w:r>
      <w:proofErr w:type="gramStart"/>
      <w:r w:rsidR="00934423" w:rsidRPr="00F2115F">
        <w:t>landowners in their own right</w:t>
      </w:r>
      <w:proofErr w:type="gramEnd"/>
      <w:r w:rsidR="00934423" w:rsidRPr="00F2115F">
        <w:t xml:space="preserve">.  </w:t>
      </w:r>
      <w:proofErr w:type="spellStart"/>
      <w:r w:rsidR="00934423" w:rsidRPr="00F2115F">
        <w:t>Wouter</w:t>
      </w:r>
      <w:r>
        <w:t>s</w:t>
      </w:r>
      <w:proofErr w:type="spellEnd"/>
      <w:r w:rsidR="00934423" w:rsidRPr="00F2115F">
        <w:t>, also a planter, was a curator (trustee) of the Damen estate</w:t>
      </w:r>
      <w:r w:rsidR="00934FF8">
        <w:rPr>
          <w:rStyle w:val="FootnoteReference"/>
        </w:rPr>
        <w:footnoteReference w:id="18"/>
      </w:r>
      <w:r w:rsidR="00934423" w:rsidRPr="00F2115F">
        <w:t xml:space="preserve"> and, after Van </w:t>
      </w:r>
      <w:proofErr w:type="spellStart"/>
      <w:r w:rsidR="00934423" w:rsidRPr="00F2115F">
        <w:t>Twiller’s</w:t>
      </w:r>
      <w:proofErr w:type="spellEnd"/>
      <w:r w:rsidR="00934423" w:rsidRPr="00F2115F">
        <w:t xml:space="preserve"> death, leased the former Director’s plantation from his Van Rensselaer cousins.  Van der Grift </w:t>
      </w:r>
      <w:r w:rsidR="00B5390F">
        <w:t>was</w:t>
      </w:r>
      <w:r w:rsidR="00934423" w:rsidRPr="00F2115F">
        <w:t xml:space="preserve"> the brother of Paulus </w:t>
      </w:r>
      <w:proofErr w:type="spellStart"/>
      <w:r w:rsidR="00934423" w:rsidRPr="00F2115F">
        <w:t>Leendertsen</w:t>
      </w:r>
      <w:proofErr w:type="spellEnd"/>
      <w:r w:rsidR="00934423" w:rsidRPr="00F2115F">
        <w:t xml:space="preserve"> van der Grift, a skipper whom Stuyvesant, in 1647, had appointed to the lucrative post of Equipage Master of the West India Company’s ships.   A later complaint to the authorities in Amsterdam noted that though Paulus “has small wages, he has built a better dwelling-house here than anybody else.”</w:t>
      </w:r>
      <w:r w:rsidR="00934FF8">
        <w:rPr>
          <w:rStyle w:val="FootnoteReference"/>
        </w:rPr>
        <w:footnoteReference w:id="19"/>
      </w:r>
      <w:r w:rsidR="00934423" w:rsidRPr="00F2115F">
        <w:t xml:space="preserve"> </w:t>
      </w:r>
    </w:p>
    <w:p w14:paraId="1319A4E3" w14:textId="149A28FA" w:rsidR="003F127B" w:rsidRDefault="00934FF8" w:rsidP="003F127B">
      <w:r>
        <w:t xml:space="preserve">If any of these men </w:t>
      </w:r>
      <w:r w:rsidR="00046556">
        <w:t>did more than just hold their new propert</w:t>
      </w:r>
      <w:r w:rsidR="00A733A5">
        <w:t>ies</w:t>
      </w:r>
      <w:r w:rsidR="00046556">
        <w:t xml:space="preserve"> for resale, t</w:t>
      </w:r>
      <w:r w:rsidR="003F127B">
        <w:t xml:space="preserve">he labor of clearing, tilling, and tending would be done almost entirely by tenant farmers, hired hands, indentured servants, and slaves. </w:t>
      </w:r>
    </w:p>
    <w:p w14:paraId="695085CE" w14:textId="3ADBEF7A" w:rsidR="003F127B" w:rsidRDefault="003F127B" w:rsidP="003F127B">
      <w:r>
        <w:t xml:space="preserve">The five partners divided up the land among themselves.  Van </w:t>
      </w:r>
      <w:proofErr w:type="spellStart"/>
      <w:r>
        <w:t>Brugh</w:t>
      </w:r>
      <w:proofErr w:type="spellEnd"/>
      <w:r>
        <w:t xml:space="preserve">, </w:t>
      </w:r>
      <w:proofErr w:type="gramStart"/>
      <w:r>
        <w:t>whom</w:t>
      </w:r>
      <w:proofErr w:type="gramEnd"/>
      <w:r>
        <w:t xml:space="preserve"> Stokes notes was by far the richest of the partners, received the most desirable parcel, 150 acres directly along the north side of the Great Kill.  Jan </w:t>
      </w:r>
      <w:proofErr w:type="spellStart"/>
      <w:r>
        <w:t>Vigne</w:t>
      </w:r>
      <w:proofErr w:type="spellEnd"/>
      <w:r>
        <w:t xml:space="preserve"> received another 150 acres immediately north of the van </w:t>
      </w:r>
      <w:proofErr w:type="spellStart"/>
      <w:r>
        <w:t>Brugh</w:t>
      </w:r>
      <w:proofErr w:type="spellEnd"/>
      <w:r>
        <w:t xml:space="preserve"> tract.  </w:t>
      </w:r>
    </w:p>
    <w:p w14:paraId="512A0E3F" w14:textId="77777777" w:rsidR="003F127B" w:rsidRDefault="003F127B" w:rsidP="003F127B">
      <w:r>
        <w:t>The remaining 1,000 acres was divided into ten lots, which were then distributed equally among the five men.  Each lot bordered the Hudson for about 1,000 feet and extended inland for about eight tenths of a mile.  If numbered from south to north, the ten lots were assigned as follows:</w:t>
      </w:r>
    </w:p>
    <w:p w14:paraId="4CF3EDF2" w14:textId="7CA9F3AF" w:rsidR="00FA0225" w:rsidRDefault="003F127B" w:rsidP="003F127B">
      <w:r>
        <w:t xml:space="preserve">Lots 1 and 2 went to Jacob </w:t>
      </w:r>
      <w:proofErr w:type="spellStart"/>
      <w:r>
        <w:t>Leendertsen</w:t>
      </w:r>
      <w:proofErr w:type="spellEnd"/>
      <w:r>
        <w:t xml:space="preserve"> van der Grift, who almost immediately sold them to Isaac </w:t>
      </w:r>
      <w:proofErr w:type="spellStart"/>
      <w:r>
        <w:t>Bedlow</w:t>
      </w:r>
      <w:proofErr w:type="spellEnd"/>
      <w:r>
        <w:t>.</w:t>
      </w:r>
      <w:r w:rsidR="00934FF8">
        <w:rPr>
          <w:rStyle w:val="FootnoteReference"/>
        </w:rPr>
        <w:footnoteReference w:id="20"/>
      </w:r>
      <w:r>
        <w:t xml:space="preserve">  Lots 3 and 4 went to Thomas Hall and Lots 5 and 6 to Johannes van </w:t>
      </w:r>
      <w:proofErr w:type="spellStart"/>
      <w:r>
        <w:t>Brugh</w:t>
      </w:r>
      <w:proofErr w:type="spellEnd"/>
      <w:r>
        <w:t xml:space="preserve">.  The last four were divided between Egbert </w:t>
      </w:r>
      <w:proofErr w:type="spellStart"/>
      <w:r>
        <w:t>Wouters</w:t>
      </w:r>
      <w:proofErr w:type="spellEnd"/>
      <w:r>
        <w:t xml:space="preserve"> and Jan </w:t>
      </w:r>
      <w:proofErr w:type="spellStart"/>
      <w:r>
        <w:t>Vigne</w:t>
      </w:r>
      <w:proofErr w:type="spellEnd"/>
      <w:r>
        <w:t xml:space="preserve">.  It is not certain whether 7 and 8 went to </w:t>
      </w:r>
      <w:proofErr w:type="spellStart"/>
      <w:r>
        <w:t>Wouters</w:t>
      </w:r>
      <w:proofErr w:type="spellEnd"/>
      <w:r>
        <w:t xml:space="preserve"> and 9 and 10 went to </w:t>
      </w:r>
      <w:proofErr w:type="spellStart"/>
      <w:r>
        <w:t>Vigne</w:t>
      </w:r>
      <w:proofErr w:type="spellEnd"/>
      <w:r>
        <w:t xml:space="preserve"> or vice versa.  Either way, Lots 7 and 8 were also soon sold either to Thomas Hall, who died in 1669, or possibly to his widow Anne Medford </w:t>
      </w:r>
      <w:proofErr w:type="gramStart"/>
      <w:r>
        <w:t>Hall</w:t>
      </w:r>
      <w:r w:rsidR="00934FF8">
        <w:t xml:space="preserve">  </w:t>
      </w:r>
      <w:r w:rsidR="00FA0225">
        <w:t>The</w:t>
      </w:r>
      <w:proofErr w:type="gramEnd"/>
      <w:r w:rsidR="00FA0225">
        <w:t xml:space="preserve"> grant to the five partners in the syndicate comprised all of Manhattan’s West Side from </w:t>
      </w:r>
      <w:r w:rsidR="00131456">
        <w:t xml:space="preserve">about </w:t>
      </w:r>
      <w:r w:rsidR="00FA0225">
        <w:t>42</w:t>
      </w:r>
      <w:r w:rsidR="00FA0225" w:rsidRPr="00FA0225">
        <w:rPr>
          <w:vertAlign w:val="superscript"/>
        </w:rPr>
        <w:t>nd</w:t>
      </w:r>
      <w:r w:rsidR="00FA0225">
        <w:t xml:space="preserve"> Street to 89</w:t>
      </w:r>
      <w:r w:rsidR="00FA0225" w:rsidRPr="00FA0225">
        <w:rPr>
          <w:vertAlign w:val="superscript"/>
        </w:rPr>
        <w:t>th</w:t>
      </w:r>
      <w:r w:rsidR="00FA0225">
        <w:t xml:space="preserve"> Street</w:t>
      </w:r>
      <w:r w:rsidR="00201F52">
        <w:t xml:space="preserve"> and extended inland to an irregular boundary between Seventh and Eighth Avenues. </w:t>
      </w:r>
      <w:r w:rsidR="00E57FD1">
        <w:rPr>
          <w:rStyle w:val="FootnoteReference"/>
        </w:rPr>
        <w:footnoteReference w:id="21"/>
      </w:r>
    </w:p>
    <w:p w14:paraId="413B4A20" w14:textId="2D882898" w:rsidR="00565C78" w:rsidRDefault="00565C78" w:rsidP="003F127B">
      <w:pPr>
        <w:rPr>
          <w:u w:val="single"/>
        </w:rPr>
      </w:pPr>
      <w:r w:rsidRPr="00FA0225">
        <w:rPr>
          <w:u w:val="single"/>
        </w:rPr>
        <w:t xml:space="preserve">The </w:t>
      </w:r>
      <w:proofErr w:type="spellStart"/>
      <w:r w:rsidRPr="00FA0225">
        <w:rPr>
          <w:u w:val="single"/>
        </w:rPr>
        <w:t>Bedlow</w:t>
      </w:r>
      <w:proofErr w:type="spellEnd"/>
      <w:r w:rsidRPr="00FA0225">
        <w:rPr>
          <w:u w:val="single"/>
        </w:rPr>
        <w:t xml:space="preserve"> Grant</w:t>
      </w:r>
    </w:p>
    <w:p w14:paraId="32A675FF" w14:textId="4944EE91" w:rsidR="00CA7E34" w:rsidRDefault="00894F57" w:rsidP="00171696">
      <w:r>
        <w:t>O</w:t>
      </w:r>
      <w:r w:rsidR="00CA7E34">
        <w:t xml:space="preserve">n February 13, 1668, Nicolls made a </w:t>
      </w:r>
      <w:r>
        <w:t>second</w:t>
      </w:r>
      <w:r w:rsidR="00CA7E34">
        <w:t xml:space="preserve"> grant</w:t>
      </w:r>
      <w:r w:rsidR="00AA16DD">
        <w:t>, immediately north of the syndicate’s 1,300-acre</w:t>
      </w:r>
      <w:r w:rsidR="00904FBC">
        <w:t>s</w:t>
      </w:r>
      <w:r w:rsidR="002863B6">
        <w:t>,</w:t>
      </w:r>
      <w:r w:rsidR="00904FBC">
        <w:t xml:space="preserve"> to Isaac </w:t>
      </w:r>
      <w:proofErr w:type="spellStart"/>
      <w:r w:rsidR="00904FBC">
        <w:t>Bedlow</w:t>
      </w:r>
      <w:proofErr w:type="spellEnd"/>
      <w:r w:rsidR="00E57FD1">
        <w:t>.</w:t>
      </w:r>
      <w:r w:rsidR="0021637B" w:rsidRPr="0021637B">
        <w:rPr>
          <w:rStyle w:val="Emphasis"/>
        </w:rPr>
        <w:t xml:space="preserve"> </w:t>
      </w:r>
      <w:r w:rsidR="0021637B">
        <w:rPr>
          <w:rStyle w:val="FootnoteReference"/>
        </w:rPr>
        <w:footnoteReference w:id="22"/>
      </w:r>
      <w:r w:rsidR="0021637B">
        <w:t xml:space="preserve"> </w:t>
      </w:r>
      <w:r w:rsidR="00904FBC">
        <w:t xml:space="preserve"> </w:t>
      </w:r>
      <w:proofErr w:type="spellStart"/>
      <w:r w:rsidR="00904FBC">
        <w:t>Bedlow’s</w:t>
      </w:r>
      <w:proofErr w:type="spellEnd"/>
      <w:r w:rsidR="00904FBC">
        <w:t xml:space="preserve"> grant of about 400 </w:t>
      </w:r>
      <w:r w:rsidR="002839DD">
        <w:t>acres</w:t>
      </w:r>
      <w:r w:rsidR="00FA0225">
        <w:t xml:space="preserve"> ran from 89</w:t>
      </w:r>
      <w:r w:rsidR="00FA0225" w:rsidRPr="00FA0225">
        <w:rPr>
          <w:vertAlign w:val="superscript"/>
        </w:rPr>
        <w:t>th</w:t>
      </w:r>
      <w:r w:rsidR="00FA0225">
        <w:t xml:space="preserve"> to 107</w:t>
      </w:r>
      <w:r w:rsidR="00FA0225" w:rsidRPr="00FA0225">
        <w:rPr>
          <w:vertAlign w:val="superscript"/>
        </w:rPr>
        <w:t>th</w:t>
      </w:r>
      <w:r w:rsidR="00FA0225">
        <w:t xml:space="preserve"> Streets.  It was </w:t>
      </w:r>
      <w:r w:rsidR="00904FBC">
        <w:t>centered on a sheltered cove that, a century later</w:t>
      </w:r>
      <w:r w:rsidR="002863B6">
        <w:t>, would</w:t>
      </w:r>
      <w:r w:rsidR="00904FBC">
        <w:t xml:space="preserve"> be known as Stryker’s Bay</w:t>
      </w:r>
      <w:r w:rsidR="00E57FD1">
        <w:rPr>
          <w:rStyle w:val="FootnoteReference"/>
        </w:rPr>
        <w:footnoteReference w:id="23"/>
      </w:r>
      <w:r w:rsidR="0094448D">
        <w:t xml:space="preserve"> </w:t>
      </w:r>
    </w:p>
    <w:p w14:paraId="3ECE8155" w14:textId="180108B0" w:rsidR="00916104" w:rsidRDefault="00904FBC" w:rsidP="00171696">
      <w:r>
        <w:lastRenderedPageBreak/>
        <w:t xml:space="preserve">Isaac </w:t>
      </w:r>
      <w:proofErr w:type="spellStart"/>
      <w:r>
        <w:t>Bedlow</w:t>
      </w:r>
      <w:proofErr w:type="spellEnd"/>
      <w:r>
        <w:t xml:space="preserve"> was a merchant and </w:t>
      </w:r>
      <w:r w:rsidR="00560389">
        <w:t xml:space="preserve">a very successful </w:t>
      </w:r>
      <w:r>
        <w:t>speculator</w:t>
      </w:r>
      <w:r w:rsidR="00560389">
        <w:t xml:space="preserve"> in land, as well as a city alderman.  </w:t>
      </w:r>
      <w:r>
        <w:t>His</w:t>
      </w:r>
      <w:r w:rsidR="00894F57">
        <w:t xml:space="preserve"> numerous</w:t>
      </w:r>
      <w:r>
        <w:t xml:space="preserve"> holdings</w:t>
      </w:r>
      <w:r w:rsidR="00894F57">
        <w:t xml:space="preserve">, </w:t>
      </w:r>
      <w:r>
        <w:t xml:space="preserve">at one time </w:t>
      </w:r>
      <w:r w:rsidR="00894F57">
        <w:t xml:space="preserve">or another, </w:t>
      </w:r>
      <w:r>
        <w:t xml:space="preserve">included Bedloe’s Island </w:t>
      </w:r>
      <w:r w:rsidR="00FA0225">
        <w:t xml:space="preserve">(now Liberty Island) </w:t>
      </w:r>
      <w:r>
        <w:t xml:space="preserve">and </w:t>
      </w:r>
      <w:r w:rsidR="00560389">
        <w:t>a large chunk of the Bronx.</w:t>
      </w:r>
    </w:p>
    <w:p w14:paraId="23E87992" w14:textId="5549A8BC" w:rsidR="000C7C40" w:rsidRDefault="00F423D3" w:rsidP="00F423D3">
      <w:r>
        <w:t xml:space="preserve">Says Stokes, “For more than 20 years after 1668 the records are silent about the </w:t>
      </w:r>
      <w:proofErr w:type="spellStart"/>
      <w:r>
        <w:t>Bedlow</w:t>
      </w:r>
      <w:proofErr w:type="spellEnd"/>
      <w:r>
        <w:t xml:space="preserve"> patent.”  </w:t>
      </w:r>
      <w:proofErr w:type="spellStart"/>
      <w:r>
        <w:t>Bedlow</w:t>
      </w:r>
      <w:proofErr w:type="spellEnd"/>
      <w:r>
        <w:t xml:space="preserve"> died in February 1673.  Shrewd as he was in his business dealings, he neglected to make a will, thus burdening his widow and children with years of litigation.  A commission was appointed to audit and supervise his accounts.  His widow Elizabeth was appointed administrat</w:t>
      </w:r>
      <w:r w:rsidR="00C80D23">
        <w:t>r</w:t>
      </w:r>
      <w:r>
        <w:t>ix on August 9, 1675.  It took 13 more years until she was able to sell the Bloomingdale tract.</w:t>
      </w:r>
      <w:r w:rsidR="004400FF">
        <w:rPr>
          <w:rStyle w:val="FootnoteReference"/>
        </w:rPr>
        <w:footnoteReference w:id="24"/>
      </w:r>
      <w:r>
        <w:t xml:space="preserve">  The eventual buyer was </w:t>
      </w:r>
      <w:proofErr w:type="spellStart"/>
      <w:r>
        <w:t>Theunis</w:t>
      </w:r>
      <w:proofErr w:type="spellEnd"/>
      <w:r>
        <w:t xml:space="preserve"> Ide</w:t>
      </w:r>
      <w:r w:rsidR="00BD2FC4">
        <w:t xml:space="preserve">s (or </w:t>
      </w:r>
      <w:proofErr w:type="spellStart"/>
      <w:r w:rsidR="00BD2FC4">
        <w:t>Idens</w:t>
      </w:r>
      <w:proofErr w:type="spellEnd"/>
      <w:r w:rsidR="00BD2FC4">
        <w:t>)</w:t>
      </w:r>
      <w:r>
        <w:t xml:space="preserve"> </w:t>
      </w:r>
      <w:r w:rsidR="00BD2FC4">
        <w:t>v</w:t>
      </w:r>
      <w:r>
        <w:t xml:space="preserve">an </w:t>
      </w:r>
      <w:proofErr w:type="spellStart"/>
      <w:r>
        <w:t>Huyse</w:t>
      </w:r>
      <w:proofErr w:type="spellEnd"/>
      <w:r>
        <w:t>, of whom I will write more below.</w:t>
      </w:r>
    </w:p>
    <w:p w14:paraId="352F9E50" w14:textId="1E7C0835" w:rsidR="000C7C40" w:rsidRPr="000C7C40" w:rsidRDefault="000C7C40" w:rsidP="00F423D3">
      <w:pPr>
        <w:rPr>
          <w:u w:val="single"/>
        </w:rPr>
      </w:pPr>
      <w:r w:rsidRPr="000C7C40">
        <w:rPr>
          <w:u w:val="single"/>
        </w:rPr>
        <w:t>Further History of the Syndicate Lots</w:t>
      </w:r>
    </w:p>
    <w:p w14:paraId="17539294" w14:textId="3B188C60" w:rsidR="000C7C40" w:rsidRDefault="00A11C51" w:rsidP="00F423D3">
      <w:r>
        <w:t>As noted above by Stokes, l</w:t>
      </w:r>
      <w:r w:rsidR="00F97918">
        <w:t xml:space="preserve">ittle is known of the </w:t>
      </w:r>
      <w:r w:rsidR="00833616">
        <w:t xml:space="preserve">history of the </w:t>
      </w:r>
      <w:r w:rsidR="000C7C40">
        <w:t>syndicate’s lots during Bloomingdale</w:t>
      </w:r>
      <w:r w:rsidR="00A9494B">
        <w:t>’</w:t>
      </w:r>
      <w:r w:rsidR="000C7C40">
        <w:t>s first</w:t>
      </w:r>
      <w:r w:rsidR="00833616">
        <w:t xml:space="preserve"> two decades</w:t>
      </w:r>
      <w:r w:rsidR="00F97918">
        <w:t>.</w:t>
      </w:r>
      <w:r>
        <w:rPr>
          <w:rStyle w:val="FootnoteReference"/>
        </w:rPr>
        <w:footnoteReference w:id="25"/>
      </w:r>
      <w:r w:rsidR="00F97918">
        <w:t xml:space="preserve">  </w:t>
      </w:r>
      <w:r w:rsidR="00DB64BF">
        <w:t>Nevertheless, Stokes and his team of researchers were able to glean the following from available wills, deeds, and other records:</w:t>
      </w:r>
    </w:p>
    <w:p w14:paraId="37CC87E5" w14:textId="35528E98" w:rsidR="004D4FAD" w:rsidRDefault="00555510" w:rsidP="00F423D3">
      <w:r>
        <w:t xml:space="preserve">Van </w:t>
      </w:r>
      <w:proofErr w:type="spellStart"/>
      <w:r>
        <w:t>Brugh</w:t>
      </w:r>
      <w:proofErr w:type="spellEnd"/>
      <w:r>
        <w:t xml:space="preserve"> held on to his 150-acre tract on the north side of the Great Kill</w:t>
      </w:r>
      <w:r w:rsidR="005A76EF">
        <w:t>. His</w:t>
      </w:r>
      <w:r w:rsidR="00E13B7A">
        <w:t xml:space="preserve"> heirs appear to have owned it until around 1700.  </w:t>
      </w:r>
      <w:r w:rsidR="00040A6F">
        <w:t xml:space="preserve"> Jan </w:t>
      </w:r>
      <w:proofErr w:type="spellStart"/>
      <w:r w:rsidR="00040A6F">
        <w:t>Vi</w:t>
      </w:r>
      <w:r w:rsidR="007C731C">
        <w:t>gn</w:t>
      </w:r>
      <w:r w:rsidR="00040A6F">
        <w:t>e</w:t>
      </w:r>
      <w:proofErr w:type="spellEnd"/>
      <w:r w:rsidR="00040A6F">
        <w:t xml:space="preserve"> at some point sold his 150 acres to Jacob </w:t>
      </w:r>
      <w:proofErr w:type="spellStart"/>
      <w:r w:rsidR="00040A6F">
        <w:t>Cornellisen</w:t>
      </w:r>
      <w:proofErr w:type="spellEnd"/>
      <w:r w:rsidR="00040A6F">
        <w:t xml:space="preserve"> </w:t>
      </w:r>
      <w:proofErr w:type="spellStart"/>
      <w:r w:rsidR="00040A6F">
        <w:t>Stille</w:t>
      </w:r>
      <w:proofErr w:type="spellEnd"/>
      <w:r w:rsidR="00DB64BF">
        <w:t xml:space="preserve">. </w:t>
      </w:r>
      <w:r w:rsidR="00040A6F">
        <w:t xml:space="preserve"> </w:t>
      </w:r>
      <w:proofErr w:type="spellStart"/>
      <w:r w:rsidR="00040A6F">
        <w:t>Stille</w:t>
      </w:r>
      <w:proofErr w:type="spellEnd"/>
      <w:r w:rsidR="00040A6F">
        <w:t xml:space="preserve"> in turn sold it to </w:t>
      </w:r>
      <w:proofErr w:type="spellStart"/>
      <w:r w:rsidR="00040A6F">
        <w:t>Wolfer</w:t>
      </w:r>
      <w:r w:rsidR="004E70AD">
        <w:t>t</w:t>
      </w:r>
      <w:proofErr w:type="spellEnd"/>
      <w:r w:rsidR="00040A6F">
        <w:t xml:space="preserve"> Webbers</w:t>
      </w:r>
      <w:r w:rsidR="0027294F">
        <w:t>,</w:t>
      </w:r>
      <w:r w:rsidR="00040A6F">
        <w:t xml:space="preserve"> who had married </w:t>
      </w:r>
      <w:proofErr w:type="spellStart"/>
      <w:r w:rsidR="004E70AD">
        <w:t>Stille’s</w:t>
      </w:r>
      <w:proofErr w:type="spellEnd"/>
      <w:r w:rsidR="00040A6F">
        <w:t xml:space="preserve"> daughter </w:t>
      </w:r>
      <w:proofErr w:type="spellStart"/>
      <w:r w:rsidR="00040A6F">
        <w:t>Grietje</w:t>
      </w:r>
      <w:proofErr w:type="spellEnd"/>
      <w:r w:rsidR="00040A6F">
        <w:t xml:space="preserve"> in 1697.  It remained in the Webbers family until the mid-18</w:t>
      </w:r>
      <w:r w:rsidR="00040A6F" w:rsidRPr="00040A6F">
        <w:rPr>
          <w:vertAlign w:val="superscript"/>
        </w:rPr>
        <w:t>th</w:t>
      </w:r>
      <w:r w:rsidR="00040A6F">
        <w:t xml:space="preserve"> Century.</w:t>
      </w:r>
      <w:r w:rsidR="00E57FD1">
        <w:rPr>
          <w:rStyle w:val="FootnoteReference"/>
        </w:rPr>
        <w:footnoteReference w:id="26"/>
      </w:r>
    </w:p>
    <w:p w14:paraId="6B9A7B78" w14:textId="6A9CB2B7" w:rsidR="00C15AD8" w:rsidRDefault="004E70AD" w:rsidP="004E70AD">
      <w:r>
        <w:t>Of the ten lots that the five partners divided equally</w:t>
      </w:r>
      <w:r w:rsidR="00DB64BF">
        <w:t>:</w:t>
      </w:r>
    </w:p>
    <w:p w14:paraId="3D653F64" w14:textId="1F1FB9E1" w:rsidR="004E70AD" w:rsidRDefault="004E70AD" w:rsidP="004E70AD">
      <w:r w:rsidRPr="00CF5A93">
        <w:rPr>
          <w:b/>
          <w:bCs/>
        </w:rPr>
        <w:t>Lots 1 and 2</w:t>
      </w:r>
      <w:r w:rsidR="00C15AD8">
        <w:t xml:space="preserve">, originally allotted to </w:t>
      </w:r>
      <w:proofErr w:type="spellStart"/>
      <w:r w:rsidR="00C15AD8">
        <w:t>to</w:t>
      </w:r>
      <w:proofErr w:type="spellEnd"/>
      <w:r w:rsidR="00C15AD8">
        <w:t xml:space="preserve"> </w:t>
      </w:r>
      <w:r>
        <w:t xml:space="preserve">Jacob </w:t>
      </w:r>
      <w:proofErr w:type="spellStart"/>
      <w:r>
        <w:t>Leendertse</w:t>
      </w:r>
      <w:proofErr w:type="spellEnd"/>
      <w:r>
        <w:t xml:space="preserve"> van de Grift</w:t>
      </w:r>
      <w:r w:rsidR="00C15AD8">
        <w:t xml:space="preserve">, were sold within the year to </w:t>
      </w:r>
      <w:proofErr w:type="gramStart"/>
      <w:r w:rsidR="00C15AD8">
        <w:t xml:space="preserve">Isaac </w:t>
      </w:r>
      <w:r>
        <w:t xml:space="preserve"> </w:t>
      </w:r>
      <w:proofErr w:type="spellStart"/>
      <w:r>
        <w:t>Bedlow</w:t>
      </w:r>
      <w:proofErr w:type="spellEnd"/>
      <w:proofErr w:type="gramEnd"/>
      <w:r>
        <w:t xml:space="preserve">. </w:t>
      </w:r>
      <w:r w:rsidR="008930F1">
        <w:rPr>
          <w:rStyle w:val="FootnoteReference"/>
        </w:rPr>
        <w:footnoteReference w:id="27"/>
      </w:r>
      <w:r w:rsidR="008930F1">
        <w:t xml:space="preserve"> </w:t>
      </w:r>
      <w:r>
        <w:t xml:space="preserve"> After </w:t>
      </w:r>
      <w:proofErr w:type="spellStart"/>
      <w:r>
        <w:t>Be</w:t>
      </w:r>
      <w:r w:rsidR="00C15AD8">
        <w:t>dl</w:t>
      </w:r>
      <w:r>
        <w:t>ow’s</w:t>
      </w:r>
      <w:proofErr w:type="spellEnd"/>
      <w:r>
        <w:t xml:space="preserve"> death in 1673, the farm passed to his daughters and their spouses</w:t>
      </w:r>
      <w:r w:rsidR="00D06727">
        <w:t xml:space="preserve">.  In </w:t>
      </w:r>
      <w:r>
        <w:t xml:space="preserve">1698 there is a conveyance by the </w:t>
      </w:r>
      <w:proofErr w:type="spellStart"/>
      <w:r>
        <w:t>Bedlow</w:t>
      </w:r>
      <w:proofErr w:type="spellEnd"/>
      <w:r>
        <w:t xml:space="preserve"> heirs to Jacobus van Cortlandt</w:t>
      </w:r>
      <w:r w:rsidR="00B10175">
        <w:t xml:space="preserve"> (1658-1739)</w:t>
      </w:r>
      <w:r w:rsidR="00B07A5B">
        <w:t>, a future Mayor of New York.</w:t>
      </w:r>
      <w:r w:rsidR="00B07A5B">
        <w:rPr>
          <w:rStyle w:val="FootnoteReference"/>
        </w:rPr>
        <w:footnoteReference w:id="28"/>
      </w:r>
      <w:r w:rsidR="00B07A5B">
        <w:t xml:space="preserve">  </w:t>
      </w:r>
      <w:r>
        <w:t>By 1714, Lot 1 had become the property of Matthias Hopper.</w:t>
      </w:r>
      <w:r w:rsidR="008930F1">
        <w:rPr>
          <w:rStyle w:val="FootnoteReference"/>
        </w:rPr>
        <w:footnoteReference w:id="29"/>
      </w:r>
      <w:r>
        <w:t xml:space="preserve"> </w:t>
      </w:r>
      <w:r w:rsidR="008930F1">
        <w:t xml:space="preserve"> </w:t>
      </w:r>
      <w:r w:rsidR="00D06727" w:rsidRPr="00DD3FC7">
        <w:t>Although no deeds have been</w:t>
      </w:r>
      <w:r w:rsidR="00D06727">
        <w:t xml:space="preserve"> found for the next transfer of </w:t>
      </w:r>
      <w:r w:rsidR="00D06727" w:rsidRPr="00B07A5B">
        <w:rPr>
          <w:b/>
          <w:bCs/>
        </w:rPr>
        <w:t>Lot 2</w:t>
      </w:r>
      <w:r w:rsidR="00D06727">
        <w:t xml:space="preserve">, it directly or indirectly passed from Jacobus Van Cortlandt, (d. 1739) to Cornelis Cosine.  Cosine moved to Bloomingdale in 1741 when he was elected Collector of the Bowery Division of the </w:t>
      </w:r>
      <w:proofErr w:type="gramStart"/>
      <w:r w:rsidR="00D06727">
        <w:t>Out Ward</w:t>
      </w:r>
      <w:proofErr w:type="gramEnd"/>
      <w:r w:rsidR="00D06727">
        <w:t>.</w:t>
      </w:r>
      <w:r w:rsidR="008930F1">
        <w:rPr>
          <w:rStyle w:val="FootnoteReference"/>
        </w:rPr>
        <w:footnoteReference w:id="30"/>
      </w:r>
      <w:r w:rsidR="00D06727">
        <w:t xml:space="preserve"> </w:t>
      </w:r>
    </w:p>
    <w:p w14:paraId="140A312F" w14:textId="0A2177DF" w:rsidR="00D06727" w:rsidRDefault="004E70AD" w:rsidP="00D06727">
      <w:r w:rsidRPr="00CF5A93">
        <w:rPr>
          <w:b/>
          <w:bCs/>
        </w:rPr>
        <w:t>Lots 3 and 4</w:t>
      </w:r>
      <w:r>
        <w:t xml:space="preserve"> </w:t>
      </w:r>
      <w:r w:rsidR="00D06727">
        <w:t xml:space="preserve">were initially allotted to </w:t>
      </w:r>
      <w:r>
        <w:t>Thomas Hall</w:t>
      </w:r>
      <w:r w:rsidR="00D06727">
        <w:t xml:space="preserve">, who had died by November 1669.  It is recited in a later deed that either Hall or his heirs sold these two lots to </w:t>
      </w:r>
      <w:proofErr w:type="spellStart"/>
      <w:r w:rsidR="00D06727">
        <w:t>Theunis</w:t>
      </w:r>
      <w:proofErr w:type="spellEnd"/>
      <w:r w:rsidR="00D06727">
        <w:t xml:space="preserve"> </w:t>
      </w:r>
      <w:proofErr w:type="spellStart"/>
      <w:r w:rsidR="00D06727">
        <w:t>Cornellisen</w:t>
      </w:r>
      <w:proofErr w:type="spellEnd"/>
      <w:r w:rsidR="00D06727">
        <w:t xml:space="preserve"> </w:t>
      </w:r>
      <w:proofErr w:type="spellStart"/>
      <w:r w:rsidR="00D06727">
        <w:t>Stille</w:t>
      </w:r>
      <w:proofErr w:type="spellEnd"/>
      <w:r w:rsidR="00E06551">
        <w:t xml:space="preserve">, the younger brother of Jacob </w:t>
      </w:r>
      <w:proofErr w:type="spellStart"/>
      <w:r w:rsidR="00E06551">
        <w:t>Cornellisen</w:t>
      </w:r>
      <w:proofErr w:type="spellEnd"/>
      <w:r w:rsidR="00E06551">
        <w:t xml:space="preserve"> </w:t>
      </w:r>
      <w:proofErr w:type="spellStart"/>
      <w:r w:rsidR="00E06551">
        <w:t>Stille</w:t>
      </w:r>
      <w:proofErr w:type="spellEnd"/>
      <w:r w:rsidR="00E06551">
        <w:t>.</w:t>
      </w:r>
      <w:r w:rsidR="00D06727">
        <w:t xml:space="preserve">   The date of this transaction is not known.</w:t>
      </w:r>
      <w:r w:rsidR="00E06551">
        <w:rPr>
          <w:rStyle w:val="FootnoteReference"/>
        </w:rPr>
        <w:footnoteReference w:id="31"/>
      </w:r>
      <w:r w:rsidR="00D06727">
        <w:t xml:space="preserve"> </w:t>
      </w:r>
    </w:p>
    <w:p w14:paraId="5E379610" w14:textId="057BC4EE" w:rsidR="00D06727" w:rsidRDefault="00D06727" w:rsidP="00D06727">
      <w:r w:rsidRPr="00CF5A93">
        <w:rPr>
          <w:b/>
          <w:bCs/>
        </w:rPr>
        <w:t>Lots 5 and 6</w:t>
      </w:r>
      <w:r>
        <w:t xml:space="preserve"> were Johannes van </w:t>
      </w:r>
      <w:proofErr w:type="spellStart"/>
      <w:r>
        <w:t>Brugh’s</w:t>
      </w:r>
      <w:proofErr w:type="spellEnd"/>
      <w:r>
        <w:t xml:space="preserve"> share of the Ten Lots.  In 1696, van </w:t>
      </w:r>
      <w:proofErr w:type="spellStart"/>
      <w:r>
        <w:t>Brugh</w:t>
      </w:r>
      <w:proofErr w:type="spellEnd"/>
      <w:r>
        <w:t xml:space="preserve"> sold </w:t>
      </w:r>
      <w:r w:rsidRPr="00760B05">
        <w:rPr>
          <w:b/>
          <w:bCs/>
        </w:rPr>
        <w:t>Lot 5</w:t>
      </w:r>
      <w:r>
        <w:t xml:space="preserve"> to the </w:t>
      </w:r>
      <w:proofErr w:type="gramStart"/>
      <w:r>
        <w:t xml:space="preserve">aforementioned </w:t>
      </w:r>
      <w:proofErr w:type="spellStart"/>
      <w:r>
        <w:t>Theunis</w:t>
      </w:r>
      <w:proofErr w:type="spellEnd"/>
      <w:r>
        <w:t xml:space="preserve"> </w:t>
      </w:r>
      <w:proofErr w:type="spellStart"/>
      <w:r>
        <w:t>Cornellisen</w:t>
      </w:r>
      <w:proofErr w:type="spellEnd"/>
      <w:proofErr w:type="gramEnd"/>
      <w:r>
        <w:t xml:space="preserve"> </w:t>
      </w:r>
      <w:proofErr w:type="spellStart"/>
      <w:r>
        <w:t>Stille</w:t>
      </w:r>
      <w:proofErr w:type="spellEnd"/>
      <w:r w:rsidR="00CF5A93">
        <w:t xml:space="preserve">. </w:t>
      </w:r>
      <w:r>
        <w:t>Twenty</w:t>
      </w:r>
      <w:r w:rsidR="00A9494B">
        <w:t>-</w:t>
      </w:r>
      <w:r>
        <w:t xml:space="preserve">four years later, in 1720, the </w:t>
      </w:r>
      <w:proofErr w:type="spellStart"/>
      <w:r>
        <w:t>Stilles</w:t>
      </w:r>
      <w:proofErr w:type="spellEnd"/>
      <w:r>
        <w:t xml:space="preserve"> mortgaged their three lots (3, 4 and 5) to secure a loan of 300 pounds. By 1729, the property </w:t>
      </w:r>
      <w:r w:rsidR="00CF5A93">
        <w:t xml:space="preserve">was owned by </w:t>
      </w:r>
      <w:r>
        <w:t xml:space="preserve">Stephen Delancey (1663-1741).  This was Delancey’s Lower Farm, which he called Little Bloomingdale.  </w:t>
      </w:r>
      <w:r w:rsidR="00760B05">
        <w:t xml:space="preserve">A half </w:t>
      </w:r>
      <w:r w:rsidR="00760B05">
        <w:lastRenderedPageBreak/>
        <w:t>century later it was owned by Stephen’s grandson James.  James was an</w:t>
      </w:r>
      <w:r>
        <w:t xml:space="preserve"> active Loyalist in the American </w:t>
      </w:r>
      <w:proofErr w:type="gramStart"/>
      <w:r>
        <w:t>Revolution</w:t>
      </w:r>
      <w:proofErr w:type="gramEnd"/>
      <w:r>
        <w:t xml:space="preserve"> and </w:t>
      </w:r>
      <w:r w:rsidR="00760B05">
        <w:t xml:space="preserve">his </w:t>
      </w:r>
      <w:r>
        <w:t xml:space="preserve">estates were later confiscated by the new State of New York.  In 1780, Little Bloomingdale was sold by the Commissioners of Forfeiture to John </w:t>
      </w:r>
      <w:proofErr w:type="spellStart"/>
      <w:r>
        <w:t>Somerindike</w:t>
      </w:r>
      <w:proofErr w:type="spellEnd"/>
      <w:r>
        <w:t xml:space="preserve"> for 2,500 pounds.</w:t>
      </w:r>
      <w:r w:rsidR="004914C2">
        <w:rPr>
          <w:rStyle w:val="FootnoteReference"/>
        </w:rPr>
        <w:footnoteReference w:id="32"/>
      </w:r>
      <w:r>
        <w:t xml:space="preserve">  </w:t>
      </w:r>
    </w:p>
    <w:p w14:paraId="4A9C7739" w14:textId="0755285E" w:rsidR="001B6EDC" w:rsidRDefault="001B6EDC" w:rsidP="001B6EDC">
      <w:r w:rsidRPr="00CF5A93">
        <w:rPr>
          <w:b/>
          <w:bCs/>
        </w:rPr>
        <w:t>Lot 6</w:t>
      </w:r>
      <w:r>
        <w:t xml:space="preserve"> was retained by van </w:t>
      </w:r>
      <w:proofErr w:type="spellStart"/>
      <w:r>
        <w:t>Brugh</w:t>
      </w:r>
      <w:proofErr w:type="spellEnd"/>
      <w:r>
        <w:t xml:space="preserve"> until his death, which must have been prior to 1701, </w:t>
      </w:r>
      <w:r w:rsidR="00CF5A93">
        <w:t>his</w:t>
      </w:r>
      <w:r>
        <w:t xml:space="preserve"> heirs sold Lot 6 to Rebecca van </w:t>
      </w:r>
      <w:proofErr w:type="spellStart"/>
      <w:r>
        <w:t>Schaick</w:t>
      </w:r>
      <w:proofErr w:type="spellEnd"/>
      <w:r>
        <w:t xml:space="preserve">, the widow of Adrian van </w:t>
      </w:r>
      <w:proofErr w:type="spellStart"/>
      <w:r>
        <w:t>Schaick</w:t>
      </w:r>
      <w:proofErr w:type="spellEnd"/>
      <w:r>
        <w:t xml:space="preserve"> for 75 pounds.  Rebecca was already the owner of Lot 7, which her late husband had bought in 1697 from Anthony John </w:t>
      </w:r>
      <w:proofErr w:type="spellStart"/>
      <w:r>
        <w:t>Evertse</w:t>
      </w:r>
      <w:proofErr w:type="spellEnd"/>
      <w:r>
        <w:t xml:space="preserve">, a free Negro.  A few weeks after acquiring Lot 6 from the van </w:t>
      </w:r>
      <w:proofErr w:type="spellStart"/>
      <w:r>
        <w:t>Brugh</w:t>
      </w:r>
      <w:proofErr w:type="spellEnd"/>
      <w:r>
        <w:t xml:space="preserve"> heirs, Rebecca van </w:t>
      </w:r>
      <w:proofErr w:type="spellStart"/>
      <w:r>
        <w:t>Schaick</w:t>
      </w:r>
      <w:proofErr w:type="spellEnd"/>
      <w:r>
        <w:t xml:space="preserve"> sold both Lots 6 and 7 to Cornelius Dykeman.  Cornelius Dykeman died prior to 1722, and the property was divided between his sons George and Cornelius.   Lot 6 remained in the Dykeman family until 1763, when it was conveyed to Jacob </w:t>
      </w:r>
      <w:proofErr w:type="spellStart"/>
      <w:r>
        <w:t>Harsen</w:t>
      </w:r>
      <w:proofErr w:type="spellEnd"/>
      <w:r>
        <w:t>.</w:t>
      </w:r>
      <w:r w:rsidR="004914C2">
        <w:rPr>
          <w:rStyle w:val="FootnoteReference"/>
        </w:rPr>
        <w:footnoteReference w:id="33"/>
      </w:r>
      <w:r>
        <w:t xml:space="preserve"> </w:t>
      </w:r>
    </w:p>
    <w:p w14:paraId="2E97E4BA" w14:textId="7F57785E" w:rsidR="001B6EDC" w:rsidRDefault="004E70AD" w:rsidP="001B6EDC">
      <w:r>
        <w:t xml:space="preserve">It is not certain whether </w:t>
      </w:r>
      <w:r w:rsidR="001B6EDC" w:rsidRPr="00CF5A93">
        <w:rPr>
          <w:b/>
          <w:bCs/>
        </w:rPr>
        <w:t xml:space="preserve">Lots </w:t>
      </w:r>
      <w:r w:rsidRPr="00CF5A93">
        <w:rPr>
          <w:b/>
          <w:bCs/>
        </w:rPr>
        <w:t>7 and 8</w:t>
      </w:r>
      <w:r>
        <w:t xml:space="preserve"> </w:t>
      </w:r>
      <w:r w:rsidR="001B6EDC">
        <w:t xml:space="preserve">were originally allotted to </w:t>
      </w:r>
      <w:proofErr w:type="spellStart"/>
      <w:r>
        <w:t>Wouters</w:t>
      </w:r>
      <w:proofErr w:type="spellEnd"/>
      <w:r>
        <w:t xml:space="preserve"> </w:t>
      </w:r>
      <w:r w:rsidR="001B6EDC">
        <w:t xml:space="preserve">or </w:t>
      </w:r>
      <w:proofErr w:type="spellStart"/>
      <w:r w:rsidR="001B6EDC">
        <w:t>Vigne</w:t>
      </w:r>
      <w:proofErr w:type="spellEnd"/>
      <w:r w:rsidR="001B6EDC">
        <w:t xml:space="preserve">, either way they were soon acquired by Thomas Hall, </w:t>
      </w:r>
      <w:r>
        <w:t xml:space="preserve">who died in 1669, or possibly to his widow Anne Medford Hall, who </w:t>
      </w:r>
      <w:r w:rsidR="00CF5A93">
        <w:t>lists</w:t>
      </w:r>
      <w:r>
        <w:t xml:space="preserve"> them in </w:t>
      </w:r>
      <w:r w:rsidR="00CF5A93">
        <w:t>a will made soon after her husband’s death</w:t>
      </w:r>
      <w:r>
        <w:t>.</w:t>
      </w:r>
      <w:r w:rsidR="00FC48EB">
        <w:rPr>
          <w:rStyle w:val="FootnoteReference"/>
        </w:rPr>
        <w:footnoteReference w:id="34"/>
      </w:r>
      <w:r>
        <w:t xml:space="preserve"> </w:t>
      </w:r>
      <w:r w:rsidR="00CF5A93">
        <w:t xml:space="preserve">  </w:t>
      </w:r>
      <w:r w:rsidR="00AC7D20">
        <w:t xml:space="preserve">But </w:t>
      </w:r>
      <w:r w:rsidR="001B6EDC">
        <w:t xml:space="preserve">Anne Hall </w:t>
      </w:r>
      <w:r w:rsidR="004A4D22">
        <w:t>lived many more years.  In</w:t>
      </w:r>
      <w:r w:rsidR="00AC7D20">
        <w:t xml:space="preserve"> </w:t>
      </w:r>
      <w:r w:rsidR="001B6EDC">
        <w:t>1686</w:t>
      </w:r>
      <w:r w:rsidR="004A4D22">
        <w:t>, she</w:t>
      </w:r>
      <w:r w:rsidR="001B6EDC">
        <w:t xml:space="preserve"> sold </w:t>
      </w:r>
      <w:r w:rsidR="001B6EDC" w:rsidRPr="004A4D22">
        <w:rPr>
          <w:b/>
          <w:bCs/>
        </w:rPr>
        <w:t>Lot 7</w:t>
      </w:r>
      <w:r w:rsidR="001B6EDC">
        <w:t xml:space="preserve"> to John </w:t>
      </w:r>
      <w:proofErr w:type="spellStart"/>
      <w:r w:rsidR="001B6EDC">
        <w:t>Evertse</w:t>
      </w:r>
      <w:proofErr w:type="spellEnd"/>
      <w:r w:rsidR="001B6EDC">
        <w:t>, a free Negro who</w:t>
      </w:r>
      <w:r w:rsidR="005A76EF">
        <w:t>, as mentioned above,</w:t>
      </w:r>
      <w:r w:rsidR="001B6EDC">
        <w:t xml:space="preserve"> sold it</w:t>
      </w:r>
      <w:r w:rsidR="005A76EF">
        <w:t xml:space="preserve"> in 1697</w:t>
      </w:r>
      <w:r w:rsidR="001B6EDC">
        <w:t xml:space="preserve"> to Adrian van </w:t>
      </w:r>
      <w:proofErr w:type="spellStart"/>
      <w:r w:rsidR="001B6EDC">
        <w:t>Schaick</w:t>
      </w:r>
      <w:proofErr w:type="spellEnd"/>
      <w:r w:rsidR="005A76EF">
        <w:t xml:space="preserve">, whose widow later </w:t>
      </w:r>
      <w:r w:rsidR="001B6EDC">
        <w:t xml:space="preserve">sold both Lots 6 and 7 to Cornelius </w:t>
      </w:r>
      <w:proofErr w:type="spellStart"/>
      <w:r w:rsidR="001B6EDC">
        <w:t>Dyckman</w:t>
      </w:r>
      <w:proofErr w:type="spellEnd"/>
      <w:r w:rsidR="001B6EDC">
        <w:t xml:space="preserve">.  By </w:t>
      </w:r>
      <w:proofErr w:type="spellStart"/>
      <w:r w:rsidR="00AC7D20">
        <w:t>Dyckman’s</w:t>
      </w:r>
      <w:proofErr w:type="spellEnd"/>
      <w:r w:rsidR="00AC7D20">
        <w:t xml:space="preserve"> wil</w:t>
      </w:r>
      <w:r w:rsidR="001B6EDC">
        <w:t xml:space="preserve">l, Lot 6 went to his son George and Lot 7 to his son Cornelius Jr.  In 1745, the latter’s granddaughter Cornelia married </w:t>
      </w:r>
      <w:proofErr w:type="spellStart"/>
      <w:r w:rsidR="001B6EDC">
        <w:t>Teunis</w:t>
      </w:r>
      <w:proofErr w:type="spellEnd"/>
      <w:r w:rsidR="001B6EDC">
        <w:t xml:space="preserve"> </w:t>
      </w:r>
      <w:proofErr w:type="spellStart"/>
      <w:r w:rsidR="001B6EDC">
        <w:t>Somarindyck</w:t>
      </w:r>
      <w:proofErr w:type="spellEnd"/>
      <w:r w:rsidR="001B6EDC">
        <w:t xml:space="preserve">, and the property was thereafter known as the </w:t>
      </w:r>
      <w:proofErr w:type="spellStart"/>
      <w:r w:rsidR="001B6EDC">
        <w:t>Teunis</w:t>
      </w:r>
      <w:proofErr w:type="spellEnd"/>
      <w:r w:rsidR="001B6EDC">
        <w:t xml:space="preserve"> </w:t>
      </w:r>
      <w:proofErr w:type="spellStart"/>
      <w:r w:rsidR="001B6EDC">
        <w:t>Somarindyck</w:t>
      </w:r>
      <w:proofErr w:type="spellEnd"/>
      <w:r w:rsidR="001B6EDC">
        <w:t xml:space="preserve"> Farm.</w:t>
      </w:r>
    </w:p>
    <w:p w14:paraId="7C84964E" w14:textId="2FADA3D6" w:rsidR="006354F0" w:rsidRDefault="004A4D22" w:rsidP="001B6EDC">
      <w:r>
        <w:t xml:space="preserve">In the deed that conveyed Lot 7 from </w:t>
      </w:r>
      <w:proofErr w:type="spellStart"/>
      <w:r>
        <w:t>Evertse</w:t>
      </w:r>
      <w:proofErr w:type="spellEnd"/>
      <w:r>
        <w:t xml:space="preserve"> to van </w:t>
      </w:r>
      <w:proofErr w:type="spellStart"/>
      <w:r>
        <w:t>Schaick</w:t>
      </w:r>
      <w:proofErr w:type="spellEnd"/>
      <w:r>
        <w:t xml:space="preserve">, it is described as bounded on the north by land of Brant </w:t>
      </w:r>
      <w:proofErr w:type="spellStart"/>
      <w:r>
        <w:t>Skeyler</w:t>
      </w:r>
      <w:proofErr w:type="spellEnd"/>
      <w:r>
        <w:t xml:space="preserve"> (i.e., </w:t>
      </w:r>
      <w:r w:rsidR="003A44B4">
        <w:t xml:space="preserve">Brandt </w:t>
      </w:r>
      <w:r>
        <w:t xml:space="preserve">Schuyler). </w:t>
      </w:r>
      <w:r w:rsidR="003A44B4">
        <w:t xml:space="preserve"> This Schuyler was a prominent citizen and the husband of Cornelia van Cortlandt.</w:t>
      </w:r>
      <w:r w:rsidR="003A44B4">
        <w:rPr>
          <w:rStyle w:val="FootnoteReference"/>
        </w:rPr>
        <w:footnoteReference w:id="35"/>
      </w:r>
      <w:r w:rsidR="003A44B4">
        <w:t xml:space="preserve">  </w:t>
      </w:r>
      <w:r>
        <w:t xml:space="preserve">Stokes states that “no other evidence of Schuyler’s ownership </w:t>
      </w:r>
      <w:r w:rsidR="004D644F">
        <w:t xml:space="preserve">[of Lot 8] </w:t>
      </w:r>
      <w:r>
        <w:t>has been found.</w:t>
      </w:r>
      <w:r w:rsidR="004D644F">
        <w:rPr>
          <w:rStyle w:val="FootnoteReference"/>
        </w:rPr>
        <w:footnoteReference w:id="36"/>
      </w:r>
      <w:r w:rsidR="004D644F">
        <w:t xml:space="preserve"> </w:t>
      </w:r>
      <w:r w:rsidR="006354F0">
        <w:t xml:space="preserve">However, see below regarding </w:t>
      </w:r>
      <w:r w:rsidR="001B6EDC">
        <w:t>Lots 9 and 10</w:t>
      </w:r>
      <w:r w:rsidR="006354F0">
        <w:t>.</w:t>
      </w:r>
    </w:p>
    <w:p w14:paraId="3D5AE161" w14:textId="141DBBBC" w:rsidR="001B6EDC" w:rsidRDefault="001B6EDC" w:rsidP="001B6EDC">
      <w:r>
        <w:t xml:space="preserve">At some point prior to 1720, </w:t>
      </w:r>
      <w:proofErr w:type="spellStart"/>
      <w:r>
        <w:t>Theunis</w:t>
      </w:r>
      <w:proofErr w:type="spellEnd"/>
      <w:r>
        <w:t xml:space="preserve"> Ides expanded his farm</w:t>
      </w:r>
      <w:r w:rsidR="006354F0">
        <w:t xml:space="preserve">, the former </w:t>
      </w:r>
      <w:proofErr w:type="spellStart"/>
      <w:r w:rsidR="006354F0">
        <w:t>Bedlow</w:t>
      </w:r>
      <w:proofErr w:type="spellEnd"/>
      <w:r w:rsidR="006354F0">
        <w:t xml:space="preserve"> grant, </w:t>
      </w:r>
      <w:r>
        <w:t xml:space="preserve">by acquiring </w:t>
      </w:r>
      <w:r w:rsidRPr="006354F0">
        <w:rPr>
          <w:b/>
          <w:bCs/>
        </w:rPr>
        <w:t>Lot 10</w:t>
      </w:r>
      <w:r w:rsidR="006354F0">
        <w:rPr>
          <w:b/>
          <w:bCs/>
        </w:rPr>
        <w:t>.</w:t>
      </w:r>
      <w:r>
        <w:t xml:space="preserve">  In June of 1720, when he divided his land among his children and their spouses, the former Lot 10 went to his son-in-law Marinus </w:t>
      </w:r>
      <w:proofErr w:type="spellStart"/>
      <w:r>
        <w:t>Roelefse</w:t>
      </w:r>
      <w:proofErr w:type="spellEnd"/>
      <w:r>
        <w:t xml:space="preserve"> van </w:t>
      </w:r>
      <w:proofErr w:type="spellStart"/>
      <w:r>
        <w:t>Vleckeren</w:t>
      </w:r>
      <w:proofErr w:type="spellEnd"/>
      <w:r>
        <w:t xml:space="preserve">, </w:t>
      </w:r>
      <w:r w:rsidR="00AC7D20">
        <w:t xml:space="preserve">the </w:t>
      </w:r>
      <w:r>
        <w:t>husband of his daughter Dinah.</w:t>
      </w:r>
      <w:r w:rsidR="004D644F">
        <w:rPr>
          <w:rStyle w:val="FootnoteReference"/>
        </w:rPr>
        <w:footnoteReference w:id="37"/>
      </w:r>
      <w:r>
        <w:t xml:space="preserve"> </w:t>
      </w:r>
    </w:p>
    <w:p w14:paraId="628520D3" w14:textId="7E405C95" w:rsidR="001B6EDC" w:rsidRDefault="001B6EDC" w:rsidP="001B6EDC">
      <w:r>
        <w:t xml:space="preserve">Several years earlier, in 1711, </w:t>
      </w:r>
      <w:r w:rsidR="006354F0">
        <w:t xml:space="preserve">Marinus </w:t>
      </w:r>
      <w:proofErr w:type="spellStart"/>
      <w:r>
        <w:t>Roelefse</w:t>
      </w:r>
      <w:proofErr w:type="spellEnd"/>
      <w:r>
        <w:t xml:space="preserve"> had petitioned the Common Council for a “grant or lease of a tract of land belonging to the Corporation [i.e., the </w:t>
      </w:r>
      <w:proofErr w:type="gramStart"/>
      <w:r>
        <w:t>City</w:t>
      </w:r>
      <w:proofErr w:type="gramEnd"/>
      <w:r>
        <w:t xml:space="preserve">] lying near the land of </w:t>
      </w:r>
      <w:proofErr w:type="spellStart"/>
      <w:r>
        <w:t>Theunis</w:t>
      </w:r>
      <w:proofErr w:type="spellEnd"/>
      <w:r>
        <w:t xml:space="preserve"> Ides …containing 150 acres or thereabouts.” There is no record of any action on this petition</w:t>
      </w:r>
      <w:r w:rsidR="00FC13D1">
        <w:t>,</w:t>
      </w:r>
      <w:r>
        <w:t xml:space="preserve"> but the acreage mentioned suggests that Lots 8 and 9 had reverted to the </w:t>
      </w:r>
      <w:proofErr w:type="gramStart"/>
      <w:r>
        <w:t>City</w:t>
      </w:r>
      <w:proofErr w:type="gramEnd"/>
      <w:r>
        <w:t xml:space="preserve">.   “The records reveal nothing further,” according to Stokes.  </w:t>
      </w:r>
    </w:p>
    <w:p w14:paraId="6521EF1D" w14:textId="20C38A59" w:rsidR="006354F0" w:rsidRDefault="006354F0" w:rsidP="006354F0">
      <w:r>
        <w:t xml:space="preserve">Sometime between 1720 and 1729 </w:t>
      </w:r>
      <w:r w:rsidR="00AC7D20">
        <w:t xml:space="preserve">Stephen </w:t>
      </w:r>
      <w:r>
        <w:t xml:space="preserve">Delancey purchased Lot 10 from </w:t>
      </w:r>
      <w:proofErr w:type="spellStart"/>
      <w:r>
        <w:t>Roelefse</w:t>
      </w:r>
      <w:proofErr w:type="spellEnd"/>
      <w:r>
        <w:t xml:space="preserve">.  He may have also purchased Lots 8 and 9 from </w:t>
      </w:r>
      <w:proofErr w:type="spellStart"/>
      <w:r>
        <w:t>Roelefse</w:t>
      </w:r>
      <w:proofErr w:type="spellEnd"/>
      <w:r>
        <w:t xml:space="preserve">, assuming the petition of 1711 was eventually granted.  More likely he purchased </w:t>
      </w:r>
      <w:r w:rsidR="005A76EF">
        <w:t>them</w:t>
      </w:r>
      <w:r>
        <w:t xml:space="preserve"> directly from the </w:t>
      </w:r>
      <w:proofErr w:type="gramStart"/>
      <w:r>
        <w:t>City</w:t>
      </w:r>
      <w:proofErr w:type="gramEnd"/>
      <w:r>
        <w:t xml:space="preserve">.  </w:t>
      </w:r>
    </w:p>
    <w:p w14:paraId="61DF0958" w14:textId="3284F3BD" w:rsidR="006354F0" w:rsidRDefault="006354F0" w:rsidP="006354F0">
      <w:r>
        <w:t xml:space="preserve">Either way, as of 1729, </w:t>
      </w:r>
      <w:r w:rsidRPr="006354F0">
        <w:rPr>
          <w:b/>
          <w:bCs/>
        </w:rPr>
        <w:t>Lots 8, 9 and 10</w:t>
      </w:r>
      <w:r>
        <w:t xml:space="preserve"> had become the country seat of Stephen Delancey (1663-1741), which he called Bloomingdale.   Delancey, a descendant of minor French nobility, had come to New York in 1686 as a refugee from French persecution following the Revocation of the Edict of Nantes.  In New </w:t>
      </w:r>
      <w:r>
        <w:lastRenderedPageBreak/>
        <w:t>York he became a merchant</w:t>
      </w:r>
      <w:r w:rsidR="00AC7D20">
        <w:t xml:space="preserve"> and </w:t>
      </w:r>
      <w:r>
        <w:t>amassed great wealth.  Through his marriage and those of his children, he was allied with some of the most powerful families in the colony and became patriarch of a dynasty that wielded great influence in New York affairs until the American Revolution.</w:t>
      </w:r>
      <w:r w:rsidR="00B37109">
        <w:rPr>
          <w:rStyle w:val="FootnoteReference"/>
        </w:rPr>
        <w:footnoteReference w:id="38"/>
      </w:r>
    </w:p>
    <w:p w14:paraId="44765EB1" w14:textId="110DB591" w:rsidR="006354F0" w:rsidRDefault="006354F0" w:rsidP="006354F0">
      <w:r>
        <w:t xml:space="preserve">As noted above, in mid-1729 or shortly thereafter, Stephen Delancey also purchased Lots </w:t>
      </w:r>
      <w:r w:rsidRPr="006354F0">
        <w:rPr>
          <w:b/>
          <w:bCs/>
        </w:rPr>
        <w:t>3, 4 and 5</w:t>
      </w:r>
      <w:r>
        <w:t xml:space="preserve">.   That estate he called Little Bloomingdale.  </w:t>
      </w:r>
    </w:p>
    <w:p w14:paraId="1CD110C4" w14:textId="5D771752" w:rsidR="00AC7D20" w:rsidRPr="00154DDD" w:rsidRDefault="00AC7D20" w:rsidP="006354F0">
      <w:pPr>
        <w:rPr>
          <w:u w:val="single"/>
        </w:rPr>
      </w:pPr>
      <w:r w:rsidRPr="00154DDD">
        <w:rPr>
          <w:u w:val="single"/>
        </w:rPr>
        <w:t xml:space="preserve">Further History of the </w:t>
      </w:r>
      <w:proofErr w:type="spellStart"/>
      <w:r w:rsidRPr="00154DDD">
        <w:rPr>
          <w:u w:val="single"/>
        </w:rPr>
        <w:t>Bedlow</w:t>
      </w:r>
      <w:proofErr w:type="spellEnd"/>
      <w:r w:rsidRPr="00154DDD">
        <w:rPr>
          <w:u w:val="single"/>
        </w:rPr>
        <w:t xml:space="preserve"> Patent</w:t>
      </w:r>
    </w:p>
    <w:p w14:paraId="6AB5E8CC" w14:textId="0E418A79" w:rsidR="00154DDD" w:rsidRDefault="00154DDD" w:rsidP="006354F0">
      <w:r>
        <w:t xml:space="preserve">As noted above, the 1668 </w:t>
      </w:r>
      <w:proofErr w:type="spellStart"/>
      <w:r>
        <w:t>Bedlow</w:t>
      </w:r>
      <w:proofErr w:type="spellEnd"/>
      <w:r>
        <w:t xml:space="preserve"> grant was eventually purchased by </w:t>
      </w:r>
      <w:proofErr w:type="spellStart"/>
      <w:r>
        <w:t>Theunis</w:t>
      </w:r>
      <w:proofErr w:type="spellEnd"/>
      <w:r>
        <w:t xml:space="preserve"> Ides (or </w:t>
      </w:r>
      <w:proofErr w:type="spellStart"/>
      <w:r>
        <w:t>Idens</w:t>
      </w:r>
      <w:proofErr w:type="spellEnd"/>
      <w:r>
        <w:t xml:space="preserve">) van </w:t>
      </w:r>
      <w:proofErr w:type="spellStart"/>
      <w:r>
        <w:t>Huyse</w:t>
      </w:r>
      <w:proofErr w:type="spellEnd"/>
      <w:r>
        <w:t>.</w:t>
      </w:r>
    </w:p>
    <w:p w14:paraId="4852EEF1" w14:textId="7D6A01FE" w:rsidR="000A7AE8" w:rsidRDefault="00F40B35" w:rsidP="005C5BB6">
      <w:r>
        <w:t xml:space="preserve">We know quite a bit about </w:t>
      </w:r>
      <w:proofErr w:type="spellStart"/>
      <w:r>
        <w:t>Theunis</w:t>
      </w:r>
      <w:proofErr w:type="spellEnd"/>
      <w:r w:rsidR="00154DDD">
        <w:t xml:space="preserve">, </w:t>
      </w:r>
      <w:r w:rsidR="00C33780">
        <w:t>mainly</w:t>
      </w:r>
      <w:r>
        <w:t xml:space="preserve"> thanks to the journal of Jasper </w:t>
      </w:r>
      <w:proofErr w:type="spellStart"/>
      <w:r>
        <w:t>Danckaerts</w:t>
      </w:r>
      <w:proofErr w:type="spellEnd"/>
      <w:r>
        <w:t xml:space="preserve">, one of two Labadist preachers who visited </w:t>
      </w:r>
      <w:r w:rsidR="00A440EC">
        <w:t xml:space="preserve">New York and neighboring </w:t>
      </w:r>
      <w:r>
        <w:t>colonies in 1679-80</w:t>
      </w:r>
      <w:r w:rsidR="007C3FFB">
        <w:t xml:space="preserve"> to scout possible locations for a Labadist community</w:t>
      </w:r>
      <w:r w:rsidR="001B1C12">
        <w:t xml:space="preserve"> in the New World</w:t>
      </w:r>
      <w:r w:rsidR="007C3FFB">
        <w:t>.</w:t>
      </w:r>
      <w:r>
        <w:rPr>
          <w:rStyle w:val="FootnoteReference"/>
        </w:rPr>
        <w:footnoteReference w:id="39"/>
      </w:r>
      <w:r w:rsidR="00235214">
        <w:t xml:space="preserve">  </w:t>
      </w:r>
      <w:r w:rsidR="00A440EC">
        <w:t xml:space="preserve"> </w:t>
      </w:r>
      <w:r w:rsidR="001B1C12">
        <w:t xml:space="preserve">While in </w:t>
      </w:r>
      <w:r w:rsidR="00A440EC">
        <w:t xml:space="preserve">Manhattan, they lodged with an elderly couple, Jacob </w:t>
      </w:r>
      <w:proofErr w:type="spellStart"/>
      <w:r w:rsidR="00A440EC">
        <w:t>Hell</w:t>
      </w:r>
      <w:r w:rsidR="00154DDD">
        <w:t>i</w:t>
      </w:r>
      <w:r w:rsidR="00A440EC">
        <w:t>kers</w:t>
      </w:r>
      <w:proofErr w:type="spellEnd"/>
      <w:r w:rsidR="00A440EC">
        <w:t>,</w:t>
      </w:r>
      <w:r w:rsidR="000A7AE8">
        <w:t xml:space="preserve"> a carpenter, </w:t>
      </w:r>
      <w:r w:rsidR="00A440EC">
        <w:t xml:space="preserve">and his wife </w:t>
      </w:r>
      <w:proofErr w:type="spellStart"/>
      <w:r w:rsidR="00432CB6">
        <w:t>Theuntje</w:t>
      </w:r>
      <w:proofErr w:type="spellEnd"/>
      <w:r w:rsidR="00432CB6">
        <w:t xml:space="preserve"> </w:t>
      </w:r>
      <w:proofErr w:type="spellStart"/>
      <w:r w:rsidR="00432CB6">
        <w:t>Theunis</w:t>
      </w:r>
      <w:proofErr w:type="spellEnd"/>
      <w:r w:rsidR="00432CB6">
        <w:t>.</w:t>
      </w:r>
      <w:r w:rsidR="00FE3BF9">
        <w:rPr>
          <w:rStyle w:val="FootnoteReference"/>
        </w:rPr>
        <w:footnoteReference w:id="40"/>
      </w:r>
      <w:r w:rsidR="00432CB6">
        <w:t>.  Th</w:t>
      </w:r>
      <w:r w:rsidR="000A7AE8">
        <w:t>e</w:t>
      </w:r>
      <w:r w:rsidR="008C404D">
        <w:t xml:space="preserve"> couple</w:t>
      </w:r>
      <w:r w:rsidR="00432CB6">
        <w:t xml:space="preserve"> each had three children by earlier marriages and one child together. </w:t>
      </w:r>
    </w:p>
    <w:p w14:paraId="7D32538A" w14:textId="4422B5F2" w:rsidR="00F40B35" w:rsidRDefault="00432CB6" w:rsidP="005C5BB6">
      <w:proofErr w:type="spellStart"/>
      <w:r>
        <w:t>Theunis</w:t>
      </w:r>
      <w:proofErr w:type="spellEnd"/>
      <w:r>
        <w:t xml:space="preserve"> </w:t>
      </w:r>
      <w:proofErr w:type="spellStart"/>
      <w:r>
        <w:t>Idens</w:t>
      </w:r>
      <w:proofErr w:type="spellEnd"/>
      <w:r>
        <w:t xml:space="preserve"> was </w:t>
      </w:r>
      <w:proofErr w:type="spellStart"/>
      <w:r>
        <w:t>Theuntje’s</w:t>
      </w:r>
      <w:proofErr w:type="spellEnd"/>
      <w:r>
        <w:t xml:space="preserve"> son by her deceased first husband, who</w:t>
      </w:r>
      <w:r w:rsidR="00A16650">
        <w:t>m</w:t>
      </w:r>
      <w:r>
        <w:t xml:space="preserve"> we may call </w:t>
      </w:r>
      <w:proofErr w:type="spellStart"/>
      <w:r>
        <w:t>Ide</w:t>
      </w:r>
      <w:r w:rsidR="00082E4D">
        <w:t>n</w:t>
      </w:r>
      <w:proofErr w:type="spellEnd"/>
      <w:r>
        <w:t xml:space="preserve"> van </w:t>
      </w:r>
      <w:proofErr w:type="spellStart"/>
      <w:r>
        <w:t>Huyse</w:t>
      </w:r>
      <w:proofErr w:type="spellEnd"/>
      <w:r>
        <w:t>.</w:t>
      </w:r>
      <w:r w:rsidR="00454353">
        <w:rPr>
          <w:rStyle w:val="FootnoteReference"/>
        </w:rPr>
        <w:footnoteReference w:id="41"/>
      </w:r>
      <w:r>
        <w:t xml:space="preserve"> </w:t>
      </w:r>
      <w:r w:rsidR="00466528">
        <w:t xml:space="preserve"> </w:t>
      </w:r>
      <w:r w:rsidR="008C404D">
        <w:t xml:space="preserve"> Born in the Netherlan</w:t>
      </w:r>
      <w:r w:rsidR="000A7AE8">
        <w:t>d</w:t>
      </w:r>
      <w:r w:rsidR="008C404D">
        <w:t xml:space="preserve">s, </w:t>
      </w:r>
      <w:proofErr w:type="spellStart"/>
      <w:r w:rsidR="00C33780">
        <w:t>Theunis</w:t>
      </w:r>
      <w:proofErr w:type="spellEnd"/>
      <w:r w:rsidR="00C33780">
        <w:t xml:space="preserve"> </w:t>
      </w:r>
      <w:r w:rsidR="008C404D">
        <w:t>was an adolescent when his father</w:t>
      </w:r>
      <w:r w:rsidR="00154DDD">
        <w:t xml:space="preserve"> </w:t>
      </w:r>
      <w:proofErr w:type="gramStart"/>
      <w:r w:rsidR="008C404D">
        <w:t>died</w:t>
      </w:r>
      <w:proofErr w:type="gramEnd"/>
      <w:r w:rsidR="003C5560">
        <w:t xml:space="preserve"> </w:t>
      </w:r>
      <w:r w:rsidR="00082E4D">
        <w:t>and his</w:t>
      </w:r>
      <w:r w:rsidR="008C404D">
        <w:t xml:space="preserve"> mother remarried </w:t>
      </w:r>
      <w:r w:rsidR="004128F3">
        <w:t xml:space="preserve">the widowed </w:t>
      </w:r>
      <w:r w:rsidR="000A7AE8">
        <w:t xml:space="preserve">Jacob </w:t>
      </w:r>
      <w:proofErr w:type="spellStart"/>
      <w:r w:rsidR="000A7AE8">
        <w:t>Helliker</w:t>
      </w:r>
      <w:proofErr w:type="spellEnd"/>
      <w:r w:rsidR="000A7AE8">
        <w:t xml:space="preserve">.  </w:t>
      </w:r>
      <w:r w:rsidR="00C33780">
        <w:t>Moving to the New Netherlands, t</w:t>
      </w:r>
      <w:r w:rsidR="000A7AE8">
        <w:t xml:space="preserve">hey lived first in Brooklyn, where the young </w:t>
      </w:r>
      <w:proofErr w:type="spellStart"/>
      <w:r w:rsidR="000A7AE8">
        <w:t>Theunis</w:t>
      </w:r>
      <w:proofErr w:type="spellEnd"/>
      <w:r w:rsidR="000A7AE8">
        <w:t xml:space="preserve"> fell into a life of dissolution and petty crime.  It did not help matters that one of his brothers-in-law was a tavern keeper.  </w:t>
      </w:r>
    </w:p>
    <w:p w14:paraId="644DEF18" w14:textId="395CD1E1" w:rsidR="001B1C12" w:rsidRDefault="001B1C12" w:rsidP="005C5BB6">
      <w:r>
        <w:t xml:space="preserve">When the Labadists met him </w:t>
      </w:r>
      <w:proofErr w:type="spellStart"/>
      <w:r w:rsidR="00C33780">
        <w:t>Theunis</w:t>
      </w:r>
      <w:proofErr w:type="spellEnd"/>
      <w:r>
        <w:t xml:space="preserve"> was 41 years old, married with six children, and working a farm in </w:t>
      </w:r>
      <w:proofErr w:type="spellStart"/>
      <w:r>
        <w:t>Sapokannikan</w:t>
      </w:r>
      <w:proofErr w:type="spellEnd"/>
      <w:r>
        <w:t xml:space="preserve"> that he owned in partnership with his brother</w:t>
      </w:r>
      <w:r w:rsidR="004128F3">
        <w:t>-</w:t>
      </w:r>
      <w:r>
        <w:t xml:space="preserve"> in</w:t>
      </w:r>
      <w:r w:rsidR="004128F3">
        <w:t>-</w:t>
      </w:r>
      <w:r>
        <w:t xml:space="preserve"> law.  But things were going very badly.</w:t>
      </w:r>
    </w:p>
    <w:p w14:paraId="546E68F5" w14:textId="4DBD33CB" w:rsidR="001B1C12" w:rsidRDefault="001B1C12" w:rsidP="005C5BB6">
      <w:r>
        <w:t xml:space="preserve">“The devil had been assailing him for six years past,” </w:t>
      </w:r>
      <w:proofErr w:type="spellStart"/>
      <w:r w:rsidR="00CB2CE4">
        <w:t>D</w:t>
      </w:r>
      <w:r>
        <w:t>anckaerts</w:t>
      </w:r>
      <w:proofErr w:type="spellEnd"/>
      <w:r>
        <w:t xml:space="preserve"> wrote.  “His wife was a very ill-natured woman, cursing at him and finding fault</w:t>
      </w:r>
      <w:r w:rsidR="004128F3">
        <w:t>,’ and his children were saucy except for the eldest daughter.</w:t>
      </w:r>
      <w:r>
        <w:t xml:space="preserve"> </w:t>
      </w:r>
      <w:r w:rsidR="004128F3">
        <w:t xml:space="preserve">A slave he had long possessed was thrown by a horse and later died.  A </w:t>
      </w:r>
      <w:r w:rsidR="0063437D">
        <w:t xml:space="preserve">valuable </w:t>
      </w:r>
      <w:r w:rsidR="004128F3">
        <w:t>canoe was dashed to pieces by a storm</w:t>
      </w:r>
      <w:r w:rsidR="0063437D">
        <w:t xml:space="preserve"> as his neighbors stood by and did nothing</w:t>
      </w:r>
      <w:r w:rsidR="004128F3">
        <w:t xml:space="preserve">. His cows sickened.  A daughter was injured in a fall.  His hand was crushed felling trees.  And he had a </w:t>
      </w:r>
      <w:r w:rsidR="005833BE">
        <w:t xml:space="preserve">bitter </w:t>
      </w:r>
      <w:r w:rsidR="004128F3">
        <w:t xml:space="preserve">falling out with his partner brother-in-law. </w:t>
      </w:r>
      <w:r w:rsidR="005833BE">
        <w:t>He was remorseful about his former “Godless life</w:t>
      </w:r>
      <w:r w:rsidR="00082E4D">
        <w:t>,”</w:t>
      </w:r>
      <w:r w:rsidR="005833BE">
        <w:t xml:space="preserve"> but his troubles mounted.  </w:t>
      </w:r>
      <w:r w:rsidR="004128F3">
        <w:t xml:space="preserve"> One day in </w:t>
      </w:r>
      <w:r w:rsidR="0063437D">
        <w:t xml:space="preserve">April </w:t>
      </w:r>
      <w:r w:rsidR="004128F3">
        <w:t xml:space="preserve">1680, it became too much.  He ran amok, demanding a rope to hang himself.  </w:t>
      </w:r>
    </w:p>
    <w:p w14:paraId="0A1E7D43" w14:textId="4A0108F4" w:rsidR="008E4A97" w:rsidRDefault="004128F3" w:rsidP="005C5BB6">
      <w:r>
        <w:t>Hi</w:t>
      </w:r>
      <w:r w:rsidR="008E4A97">
        <w:t>s</w:t>
      </w:r>
      <w:r>
        <w:t xml:space="preserve"> </w:t>
      </w:r>
      <w:r w:rsidR="008E4A97">
        <w:t>terrified</w:t>
      </w:r>
      <w:r>
        <w:t xml:space="preserve"> wife and children </w:t>
      </w:r>
      <w:r w:rsidR="008E4A97">
        <w:t xml:space="preserve">sent word to the </w:t>
      </w:r>
      <w:proofErr w:type="spellStart"/>
      <w:r w:rsidR="008E4A97">
        <w:t>Helliker’s</w:t>
      </w:r>
      <w:proofErr w:type="spellEnd"/>
      <w:r w:rsidR="008E4A97">
        <w:t xml:space="preserve"> house.  The Labadist</w:t>
      </w:r>
      <w:r w:rsidR="00CB2CE4">
        <w:t xml:space="preserve"> preachers</w:t>
      </w:r>
      <w:r w:rsidR="008E4A97">
        <w:t xml:space="preserve"> hurried to </w:t>
      </w:r>
      <w:proofErr w:type="spellStart"/>
      <w:r w:rsidR="008E4A97">
        <w:t>Theunis</w:t>
      </w:r>
      <w:proofErr w:type="spellEnd"/>
      <w:r w:rsidR="007C4B71">
        <w:t>’</w:t>
      </w:r>
      <w:r w:rsidR="008E4A97">
        <w:t xml:space="preserve"> farm, where they calmed him, read him passages from the scripture, and convinced him that God had not forsaken him.  </w:t>
      </w:r>
      <w:proofErr w:type="spellStart"/>
      <w:r w:rsidR="00591850">
        <w:t>Theunis</w:t>
      </w:r>
      <w:proofErr w:type="spellEnd"/>
      <w:r w:rsidR="00591850">
        <w:t xml:space="preserve"> confided that “he wished he could go and live alone in the woods, away from wicked men, for it was impossible to live near them and not sin as they do.”  Afterward, </w:t>
      </w:r>
      <w:proofErr w:type="spellStart"/>
      <w:r w:rsidR="00591850">
        <w:lastRenderedPageBreak/>
        <w:t>Danckaerts</w:t>
      </w:r>
      <w:proofErr w:type="spellEnd"/>
      <w:r w:rsidR="00591850">
        <w:t xml:space="preserve"> and </w:t>
      </w:r>
      <w:proofErr w:type="spellStart"/>
      <w:r w:rsidR="00591850">
        <w:t>Sluyter</w:t>
      </w:r>
      <w:proofErr w:type="spellEnd"/>
      <w:r w:rsidR="00591850">
        <w:t xml:space="preserve"> </w:t>
      </w:r>
      <w:r w:rsidR="008E4A97">
        <w:t xml:space="preserve">spoke </w:t>
      </w:r>
      <w:r w:rsidR="00591850">
        <w:t xml:space="preserve">to </w:t>
      </w:r>
      <w:proofErr w:type="spellStart"/>
      <w:r w:rsidR="00591850">
        <w:t>Theunis’s</w:t>
      </w:r>
      <w:proofErr w:type="spellEnd"/>
      <w:r w:rsidR="008E4A97">
        <w:t xml:space="preserve"> wife and children about how they must behave toward </w:t>
      </w:r>
      <w:r w:rsidR="00591850">
        <w:t>the troubled man.</w:t>
      </w:r>
      <w:r w:rsidR="003C5560">
        <w:rPr>
          <w:rStyle w:val="FootnoteReference"/>
        </w:rPr>
        <w:footnoteReference w:id="42"/>
      </w:r>
    </w:p>
    <w:p w14:paraId="5F90F9C4" w14:textId="59817F3C" w:rsidR="002D6C99" w:rsidRDefault="008E4A97" w:rsidP="009233C8">
      <w:r>
        <w:t xml:space="preserve">The following month, after a trip </w:t>
      </w:r>
      <w:r w:rsidR="0063437D">
        <w:t xml:space="preserve">to the Albany area, the Labadists visited </w:t>
      </w:r>
      <w:proofErr w:type="spellStart"/>
      <w:r w:rsidR="0063437D">
        <w:t>Theunis</w:t>
      </w:r>
      <w:proofErr w:type="spellEnd"/>
      <w:r w:rsidR="0063437D">
        <w:t xml:space="preserve"> again.  They found him much calmer and feeling a lot better.  He said his wife had changed </w:t>
      </w:r>
      <w:r w:rsidR="00591850">
        <w:t>“</w:t>
      </w:r>
      <w:r w:rsidR="0063437D">
        <w:t>as day from night</w:t>
      </w:r>
      <w:r w:rsidR="00591850">
        <w:t>.”</w:t>
      </w:r>
      <w:r w:rsidR="007F1760">
        <w:rPr>
          <w:rStyle w:val="FootnoteReference"/>
        </w:rPr>
        <w:footnoteReference w:id="43"/>
      </w:r>
      <w:r w:rsidR="00591850">
        <w:t xml:space="preserve">  In June, as the preachers were preparing to sail back to Europe, </w:t>
      </w:r>
      <w:proofErr w:type="spellStart"/>
      <w:r w:rsidR="00591850">
        <w:t>Theunis</w:t>
      </w:r>
      <w:proofErr w:type="spellEnd"/>
      <w:r w:rsidR="00591850">
        <w:t xml:space="preserve"> came to bid them farewell.  A week later, he joined the Dutch Reformed Church.</w:t>
      </w:r>
      <w:r w:rsidR="007F1760">
        <w:rPr>
          <w:rStyle w:val="FootnoteReference"/>
        </w:rPr>
        <w:footnoteReference w:id="44"/>
      </w:r>
      <w:r w:rsidR="00591850">
        <w:t xml:space="preserve"> </w:t>
      </w:r>
    </w:p>
    <w:p w14:paraId="2EDD227E" w14:textId="403A36DA" w:rsidR="00951C02" w:rsidRDefault="002D6C99" w:rsidP="004A2CEB">
      <w:r>
        <w:t xml:space="preserve">Following his recovery from what Peter </w:t>
      </w:r>
      <w:proofErr w:type="spellStart"/>
      <w:r>
        <w:t>Salwen</w:t>
      </w:r>
      <w:proofErr w:type="spellEnd"/>
      <w:r>
        <w:t xml:space="preserve"> has called “the </w:t>
      </w:r>
      <w:r w:rsidR="004A2CEB">
        <w:t xml:space="preserve">earliest </w:t>
      </w:r>
      <w:r>
        <w:t>recorded nervous breakdown in New York City History</w:t>
      </w:r>
      <w:r w:rsidR="007F1760">
        <w:t>,</w:t>
      </w:r>
      <w:r>
        <w:t>”</w:t>
      </w:r>
      <w:r w:rsidR="007F1760">
        <w:rPr>
          <w:rStyle w:val="FootnoteReference"/>
        </w:rPr>
        <w:footnoteReference w:id="45"/>
      </w:r>
      <w:r w:rsidR="006C5F0A">
        <w:t xml:space="preserve"> </w:t>
      </w:r>
      <w:proofErr w:type="spellStart"/>
      <w:r w:rsidR="006341C7">
        <w:t>Theunis’s</w:t>
      </w:r>
      <w:proofErr w:type="spellEnd"/>
      <w:r w:rsidR="006341C7">
        <w:t xml:space="preserve"> fortunes improved</w:t>
      </w:r>
      <w:r w:rsidR="00584932">
        <w:t xml:space="preserve">.  He apparently became a respected member of the community since in 1687 he was elected assessor of the </w:t>
      </w:r>
      <w:proofErr w:type="gramStart"/>
      <w:r w:rsidR="00584932">
        <w:t>Out</w:t>
      </w:r>
      <w:r w:rsidR="00F92D0F">
        <w:t xml:space="preserve"> W</w:t>
      </w:r>
      <w:r w:rsidR="00584932">
        <w:t>ard</w:t>
      </w:r>
      <w:proofErr w:type="gramEnd"/>
      <w:r w:rsidR="00F92D0F">
        <w:t>.</w:t>
      </w:r>
      <w:r w:rsidR="00F92D0F">
        <w:rPr>
          <w:rStyle w:val="FootnoteReference"/>
        </w:rPr>
        <w:footnoteReference w:id="46"/>
      </w:r>
      <w:r w:rsidR="00584932">
        <w:t xml:space="preserve">  </w:t>
      </w:r>
      <w:r w:rsidR="00951C02">
        <w:t xml:space="preserve">In 1688, or perhaps early 1689, he sold his farm in what is now Greenwich Village and purchased the former </w:t>
      </w:r>
      <w:proofErr w:type="spellStart"/>
      <w:r w:rsidR="00951C02">
        <w:t>Bedlow</w:t>
      </w:r>
      <w:proofErr w:type="spellEnd"/>
      <w:r w:rsidR="00951C02">
        <w:t xml:space="preserve"> Tract.  According to Stokes, he </w:t>
      </w:r>
      <w:r w:rsidR="00AD2BF5">
        <w:t>must</w:t>
      </w:r>
      <w:r w:rsidR="00951C02">
        <w:t xml:space="preserve"> have moved to his new farm before March 1689, when his eldest daughter Rebecca married Abraham </w:t>
      </w:r>
      <w:r w:rsidR="009233C8">
        <w:t xml:space="preserve">de la </w:t>
      </w:r>
      <w:proofErr w:type="spellStart"/>
      <w:r w:rsidR="009233C8">
        <w:t>Montagnie</w:t>
      </w:r>
      <w:proofErr w:type="spellEnd"/>
      <w:r w:rsidR="00082E4D">
        <w:t xml:space="preserve">, grandson of one of the </w:t>
      </w:r>
      <w:r w:rsidR="009233C8">
        <w:t xml:space="preserve">of </w:t>
      </w:r>
      <w:r w:rsidR="00082E4D">
        <w:t xml:space="preserve">the founding families of </w:t>
      </w:r>
      <w:r w:rsidR="009233C8">
        <w:t>New Harlem</w:t>
      </w:r>
      <w:r w:rsidR="007F1760">
        <w:rPr>
          <w:rStyle w:val="FootnoteReference"/>
        </w:rPr>
        <w:footnoteReference w:id="47"/>
      </w:r>
      <w:r w:rsidR="00CC60A2">
        <w:t xml:space="preserve"> </w:t>
      </w:r>
    </w:p>
    <w:p w14:paraId="392376B5" w14:textId="6126BFB9" w:rsidR="00BB38BD" w:rsidRDefault="004A611C" w:rsidP="004A2CEB">
      <w:r>
        <w:t xml:space="preserve">Over the next three decades that </w:t>
      </w:r>
      <w:proofErr w:type="spellStart"/>
      <w:r w:rsidR="00F061BE">
        <w:t>Theunis</w:t>
      </w:r>
      <w:proofErr w:type="spellEnd"/>
      <w:r>
        <w:t xml:space="preserve"> held his land, he probably worked it with the help of his son Eide van </w:t>
      </w:r>
      <w:proofErr w:type="spellStart"/>
      <w:r>
        <w:t>Huyse</w:t>
      </w:r>
      <w:proofErr w:type="spellEnd"/>
      <w:r>
        <w:t xml:space="preserve"> </w:t>
      </w:r>
      <w:r w:rsidR="00BB38BD">
        <w:t xml:space="preserve">and his five sons-in -law.  It is also likely that he had </w:t>
      </w:r>
      <w:proofErr w:type="gramStart"/>
      <w:r w:rsidR="00BB38BD">
        <w:t>a number of</w:t>
      </w:r>
      <w:proofErr w:type="gramEnd"/>
      <w:r w:rsidR="00BB38BD">
        <w:t xml:space="preserve"> indentured workers, if not slaves.  </w:t>
      </w:r>
      <w:r w:rsidR="006C4546">
        <w:t>On the 1703 Census his household includes one adult male Negro and five Negro children.</w:t>
      </w:r>
      <w:r w:rsidR="00F470FE">
        <w:rPr>
          <w:rStyle w:val="FootnoteReference"/>
        </w:rPr>
        <w:footnoteReference w:id="48"/>
      </w:r>
      <w:r w:rsidR="006C4546">
        <w:t xml:space="preserve">  </w:t>
      </w:r>
    </w:p>
    <w:p w14:paraId="6E8C33FA" w14:textId="53548691" w:rsidR="00AD2BF5" w:rsidRDefault="00BB38BD" w:rsidP="004A2CEB">
      <w:r>
        <w:t xml:space="preserve">In 1720, by which time </w:t>
      </w:r>
      <w:proofErr w:type="spellStart"/>
      <w:r w:rsidR="0049262F">
        <w:t>Theunis</w:t>
      </w:r>
      <w:proofErr w:type="spellEnd"/>
      <w:r w:rsidR="0049262F">
        <w:t xml:space="preserve"> was over 80 and </w:t>
      </w:r>
      <w:r>
        <w:t>the Bloomingdale Road had greatly increased the value of his holdings</w:t>
      </w:r>
      <w:r w:rsidR="00AE6606">
        <w:t xml:space="preserve">, </w:t>
      </w:r>
      <w:proofErr w:type="spellStart"/>
      <w:r>
        <w:t>Theunis</w:t>
      </w:r>
      <w:proofErr w:type="spellEnd"/>
      <w:r>
        <w:t xml:space="preserve"> and his wife </w:t>
      </w:r>
      <w:proofErr w:type="spellStart"/>
      <w:r>
        <w:t>Janettje</w:t>
      </w:r>
      <w:proofErr w:type="spellEnd"/>
      <w:r>
        <w:t xml:space="preserve"> had their land surveyed into </w:t>
      </w:r>
      <w:r w:rsidR="00AE6606">
        <w:t>eight lots, which were numbered from south to north.  These they conveyed to their children and sons-in-law as follows, starting from the northernmost:</w:t>
      </w:r>
      <w:r w:rsidR="009A0A7A">
        <w:rPr>
          <w:rStyle w:val="FootnoteReference"/>
        </w:rPr>
        <w:footnoteReference w:id="49"/>
      </w:r>
    </w:p>
    <w:p w14:paraId="2BF6EC16" w14:textId="2696064F" w:rsidR="00AE6606" w:rsidRDefault="00AE6606" w:rsidP="004A2CEB">
      <w:r>
        <w:t>No. 8</w:t>
      </w:r>
      <w:r w:rsidR="000F5802">
        <w:t xml:space="preserve"> to Abraham De Le </w:t>
      </w:r>
      <w:proofErr w:type="spellStart"/>
      <w:r w:rsidR="000F5802">
        <w:t>Montagnie</w:t>
      </w:r>
      <w:proofErr w:type="spellEnd"/>
      <w:r w:rsidR="000F5802">
        <w:t xml:space="preserve">, husband of their daughter Rebecca. </w:t>
      </w:r>
    </w:p>
    <w:p w14:paraId="3C6D7CB9" w14:textId="192FA187" w:rsidR="000F5802" w:rsidRDefault="000F5802" w:rsidP="004A2CEB">
      <w:r>
        <w:t xml:space="preserve">Nos. 6 and 7 to their son-in law George </w:t>
      </w:r>
      <w:proofErr w:type="spellStart"/>
      <w:r>
        <w:t>Dyckman</w:t>
      </w:r>
      <w:proofErr w:type="spellEnd"/>
      <w:r>
        <w:t xml:space="preserve">, </w:t>
      </w:r>
      <w:r w:rsidR="00EA4197">
        <w:t xml:space="preserve">who </w:t>
      </w:r>
      <w:r w:rsidR="006C4546">
        <w:t xml:space="preserve">was </w:t>
      </w:r>
      <w:r>
        <w:t xml:space="preserve">married to their </w:t>
      </w:r>
      <w:r w:rsidR="00EA4197">
        <w:t xml:space="preserve">youngest </w:t>
      </w:r>
      <w:r>
        <w:t xml:space="preserve">daughter Catalina. </w:t>
      </w:r>
      <w:r w:rsidR="00EA4197">
        <w:t>His family owned what had been Lot 6 of the syndicate’s Ten Lots.</w:t>
      </w:r>
    </w:p>
    <w:p w14:paraId="441D17CB" w14:textId="7C979190" w:rsidR="00EA4197" w:rsidRDefault="00EA4197" w:rsidP="004A2CEB">
      <w:r>
        <w:t>Nos</w:t>
      </w:r>
      <w:r w:rsidR="00F470FE">
        <w:t>.</w:t>
      </w:r>
      <w:r>
        <w:t xml:space="preserve"> 4 </w:t>
      </w:r>
      <w:r w:rsidR="006C4546">
        <w:t>and</w:t>
      </w:r>
      <w:r w:rsidR="00F061BE">
        <w:t xml:space="preserve"> </w:t>
      </w:r>
      <w:r>
        <w:t xml:space="preserve">5 to their son Eide Van </w:t>
      </w:r>
      <w:proofErr w:type="spellStart"/>
      <w:r>
        <w:t>Huyse</w:t>
      </w:r>
      <w:proofErr w:type="spellEnd"/>
      <w:r w:rsidR="00F470FE">
        <w:t>.</w:t>
      </w:r>
    </w:p>
    <w:p w14:paraId="7730A28F" w14:textId="5DB844CF" w:rsidR="00715EFF" w:rsidRDefault="00715EFF" w:rsidP="004A2CEB">
      <w:r>
        <w:t>No</w:t>
      </w:r>
      <w:r w:rsidR="00F470FE">
        <w:t>s</w:t>
      </w:r>
      <w:r>
        <w:t xml:space="preserve">. 3 and 2/3 of No 2 to </w:t>
      </w:r>
      <w:proofErr w:type="spellStart"/>
      <w:r>
        <w:t>Mindert</w:t>
      </w:r>
      <w:proofErr w:type="spellEnd"/>
      <w:r>
        <w:t xml:space="preserve"> Burger van </w:t>
      </w:r>
      <w:proofErr w:type="spellStart"/>
      <w:r>
        <w:t>Evera</w:t>
      </w:r>
      <w:proofErr w:type="spellEnd"/>
      <w:r>
        <w:t>, married to their daughter Sarah</w:t>
      </w:r>
      <w:r w:rsidR="00F470FE">
        <w:t>.</w:t>
      </w:r>
    </w:p>
    <w:p w14:paraId="69F743EC" w14:textId="7A433636" w:rsidR="00715EFF" w:rsidRDefault="00715EFF" w:rsidP="004A2CEB">
      <w:r>
        <w:t xml:space="preserve">No. I and 1/3 of No. 2 to Marinus </w:t>
      </w:r>
      <w:proofErr w:type="spellStart"/>
      <w:r>
        <w:t>Roelefse</w:t>
      </w:r>
      <w:proofErr w:type="spellEnd"/>
      <w:r>
        <w:t xml:space="preserve"> van </w:t>
      </w:r>
      <w:proofErr w:type="spellStart"/>
      <w:r>
        <w:t>Vleck</w:t>
      </w:r>
      <w:proofErr w:type="spellEnd"/>
      <w:r>
        <w:t>, married to their daughter Dinah.</w:t>
      </w:r>
      <w:r w:rsidR="0045651E">
        <w:t xml:space="preserve">  This parcel corresponds to Lot 10 of the syndicate’s Ten Lots. </w:t>
      </w:r>
    </w:p>
    <w:p w14:paraId="0854D48E" w14:textId="19CA3F91" w:rsidR="00715EFF" w:rsidRDefault="00715EFF" w:rsidP="004A2CEB">
      <w:proofErr w:type="spellStart"/>
      <w:r>
        <w:t>Theunis</w:t>
      </w:r>
      <w:proofErr w:type="spellEnd"/>
      <w:r>
        <w:t xml:space="preserve"> owned an additional farm in Bloomingdale, which he gave to his daughter Maria, who was married to </w:t>
      </w:r>
      <w:r w:rsidR="00CC60A2">
        <w:t xml:space="preserve">Jurien </w:t>
      </w:r>
      <w:proofErr w:type="spellStart"/>
      <w:r w:rsidR="00CC60A2">
        <w:t>Rynchout</w:t>
      </w:r>
      <w:proofErr w:type="spellEnd"/>
      <w:r w:rsidR="00AE3552">
        <w:t xml:space="preserve">.  </w:t>
      </w:r>
    </w:p>
    <w:p w14:paraId="6D00491D" w14:textId="2DE223CE" w:rsidR="0049262F" w:rsidRDefault="0049262F" w:rsidP="004A2CEB"/>
    <w:p w14:paraId="16907414" w14:textId="3F2D0548" w:rsidR="000F5802" w:rsidRDefault="0049262F" w:rsidP="004A2CEB">
      <w:r w:rsidRPr="0049262F">
        <w:lastRenderedPageBreak/>
        <w:t>THE NAMING OF BLOOMINGDALE</w:t>
      </w:r>
    </w:p>
    <w:p w14:paraId="25E449CB" w14:textId="669C2416" w:rsidR="00BC24E3" w:rsidRDefault="00614259" w:rsidP="00BC24E3">
      <w:r>
        <w:t>It is likely that, by</w:t>
      </w:r>
      <w:r w:rsidR="0049262F">
        <w:t xml:space="preserve"> the time </w:t>
      </w:r>
      <w:proofErr w:type="spellStart"/>
      <w:r w:rsidR="0049262F">
        <w:t>Theunis</w:t>
      </w:r>
      <w:proofErr w:type="spellEnd"/>
      <w:r w:rsidR="0049262F">
        <w:t xml:space="preserve"> </w:t>
      </w:r>
      <w:proofErr w:type="spellStart"/>
      <w:r w:rsidR="0049262F">
        <w:t>Idens</w:t>
      </w:r>
      <w:proofErr w:type="spellEnd"/>
      <w:r w:rsidR="00AE3552">
        <w:t xml:space="preserve"> moved there about 1688, the name Bloomingdale was already being used for the area north of the Great Kill and west of the Harlem Line.  </w:t>
      </w:r>
      <w:r w:rsidR="00BC24E3">
        <w:t xml:space="preserve">It is </w:t>
      </w:r>
      <w:r w:rsidRPr="00614259">
        <w:t>also</w:t>
      </w:r>
      <w:r w:rsidR="00F470FE">
        <w:t xml:space="preserve"> </w:t>
      </w:r>
      <w:r w:rsidR="00BC24E3" w:rsidRPr="00614259">
        <w:t>likely</w:t>
      </w:r>
      <w:r w:rsidR="00BC24E3">
        <w:t xml:space="preserve"> that the inhabitants of New Harlem were the first to use the name, at least in its Dutch form</w:t>
      </w:r>
      <w:r w:rsidR="006973A7">
        <w:t xml:space="preserve">.  The village of </w:t>
      </w:r>
      <w:r w:rsidR="00BC24E3">
        <w:t>New Harlem</w:t>
      </w:r>
      <w:r w:rsidR="006973A7">
        <w:t>, at about today’s 125</w:t>
      </w:r>
      <w:r w:rsidR="006973A7" w:rsidRPr="006973A7">
        <w:rPr>
          <w:vertAlign w:val="superscript"/>
        </w:rPr>
        <w:t>th</w:t>
      </w:r>
      <w:r w:rsidR="006973A7">
        <w:t xml:space="preserve"> St. and First Avenue, </w:t>
      </w:r>
      <w:r w:rsidR="00BC24E3">
        <w:t xml:space="preserve">was </w:t>
      </w:r>
      <w:r w:rsidR="00992757">
        <w:t>first so called</w:t>
      </w:r>
      <w:r w:rsidR="00BC24E3">
        <w:t xml:space="preserve"> in 165</w:t>
      </w:r>
      <w:r w:rsidR="00992757">
        <w:t>8</w:t>
      </w:r>
      <w:r w:rsidR="00BC24E3">
        <w:rPr>
          <w:rStyle w:val="FootnoteReference"/>
        </w:rPr>
        <w:footnoteReference w:id="50"/>
      </w:r>
      <w:r w:rsidR="00BC24E3">
        <w:t xml:space="preserve">.  The village of </w:t>
      </w:r>
      <w:proofErr w:type="spellStart"/>
      <w:r w:rsidR="00BC24E3">
        <w:t>Bloemendael</w:t>
      </w:r>
      <w:proofErr w:type="spellEnd"/>
      <w:r w:rsidR="00BC24E3">
        <w:t xml:space="preserve"> in the Netherlands </w:t>
      </w:r>
      <w:r w:rsidR="00F061BE">
        <w:t>is</w:t>
      </w:r>
      <w:r w:rsidR="00BC24E3">
        <w:t xml:space="preserve"> about two miles west of </w:t>
      </w:r>
      <w:r w:rsidR="006973A7">
        <w:t>the original</w:t>
      </w:r>
      <w:r w:rsidR="00BC24E3">
        <w:t xml:space="preserve"> Harlem.   Manhattan’s Bloomingdale was a similar distance west of New Harlem.  It would have been logical for residents of New Harlem, who </w:t>
      </w:r>
      <w:r w:rsidR="00E0576A">
        <w:t xml:space="preserve">used </w:t>
      </w:r>
      <w:r w:rsidR="00BC24E3">
        <w:t xml:space="preserve">the area to their west for grazing and other purposes, to refer to it jocularly as </w:t>
      </w:r>
      <w:proofErr w:type="spellStart"/>
      <w:r w:rsidR="00BC24E3">
        <w:t>Bloemendael</w:t>
      </w:r>
      <w:proofErr w:type="spellEnd"/>
      <w:r w:rsidR="00BC24E3">
        <w:rPr>
          <w:rStyle w:val="FootnoteReference"/>
        </w:rPr>
        <w:footnoteReference w:id="51"/>
      </w:r>
      <w:r w:rsidR="00BC24E3">
        <w:t>.</w:t>
      </w:r>
    </w:p>
    <w:p w14:paraId="1DF99E56" w14:textId="42E2A518" w:rsidR="00E22B2D" w:rsidRDefault="00805D8A" w:rsidP="00BC24E3">
      <w:r>
        <w:t>O</w:t>
      </w:r>
      <w:r w:rsidR="00655FA4">
        <w:t>n</w:t>
      </w:r>
      <w:r>
        <w:t xml:space="preserve"> March 10, 1688, the marriage register of the Reformed Dutch Church in New York records the marriage of Francisco Van Angola, </w:t>
      </w:r>
      <w:r w:rsidR="007041E4">
        <w:t>young man (i.e., a bachelor),</w:t>
      </w:r>
      <w:r>
        <w:t xml:space="preserve"> “Van </w:t>
      </w:r>
      <w:proofErr w:type="spellStart"/>
      <w:r>
        <w:t>Bloemendal</w:t>
      </w:r>
      <w:proofErr w:type="spellEnd"/>
      <w:r>
        <w:t xml:space="preserve">” to Dorothee </w:t>
      </w:r>
      <w:proofErr w:type="spellStart"/>
      <w:r>
        <w:t>Bresiel</w:t>
      </w:r>
      <w:proofErr w:type="spellEnd"/>
      <w:r w:rsidR="007041E4">
        <w:t>, young lady, (i.e.,</w:t>
      </w:r>
      <w:r w:rsidR="00F061BE">
        <w:t xml:space="preserve"> </w:t>
      </w:r>
      <w:r w:rsidR="007041E4">
        <w:t xml:space="preserve">maiden), </w:t>
      </w:r>
      <w:r>
        <w:t xml:space="preserve">“Van de </w:t>
      </w:r>
      <w:proofErr w:type="spellStart"/>
      <w:r>
        <w:t>Barbadoes</w:t>
      </w:r>
      <w:proofErr w:type="spellEnd"/>
      <w:r>
        <w:t xml:space="preserve">,” the first living </w:t>
      </w:r>
      <w:r w:rsidR="007041E4">
        <w:t xml:space="preserve">“op </w:t>
      </w:r>
      <w:proofErr w:type="spellStart"/>
      <w:r>
        <w:t>Bloemendal</w:t>
      </w:r>
      <w:proofErr w:type="spellEnd"/>
      <w:r>
        <w:t xml:space="preserve">” and the second </w:t>
      </w:r>
      <w:r w:rsidR="007041E4">
        <w:t>“</w:t>
      </w:r>
      <w:r>
        <w:t>o</w:t>
      </w:r>
      <w:r w:rsidR="007041E4">
        <w:t>p</w:t>
      </w:r>
      <w:r>
        <w:t xml:space="preserve"> Frederick </w:t>
      </w:r>
      <w:proofErr w:type="spellStart"/>
      <w:r>
        <w:t>Philpszens</w:t>
      </w:r>
      <w:proofErr w:type="spellEnd"/>
      <w:r>
        <w:t xml:space="preserve"> land.</w:t>
      </w:r>
      <w:r w:rsidR="007041E4">
        <w:t xml:space="preserve">”  </w:t>
      </w:r>
      <w:r w:rsidR="00E22B2D">
        <w:t xml:space="preserve">This is the first known use of the name </w:t>
      </w:r>
      <w:proofErr w:type="spellStart"/>
      <w:r w:rsidR="00E22B2D">
        <w:t>Bloemendal</w:t>
      </w:r>
      <w:proofErr w:type="spellEnd"/>
      <w:r w:rsidR="00E22B2D">
        <w:t xml:space="preserve"> in a written record.</w:t>
      </w:r>
      <w:r w:rsidR="00F335C0">
        <w:rPr>
          <w:rStyle w:val="FootnoteReference"/>
        </w:rPr>
        <w:footnoteReference w:id="52"/>
      </w:r>
      <w:r w:rsidR="00E22B2D">
        <w:t xml:space="preserve">  The Dutch </w:t>
      </w:r>
      <w:r w:rsidR="008842B1">
        <w:t>preposition</w:t>
      </w:r>
      <w:r w:rsidR="00E22B2D">
        <w:t xml:space="preserve"> “op” usually means “on” </w:t>
      </w:r>
      <w:r w:rsidR="008842B1">
        <w:t xml:space="preserve">(in the physical sense), </w:t>
      </w:r>
      <w:r w:rsidR="00E22B2D">
        <w:t>which suggests that “</w:t>
      </w:r>
      <w:proofErr w:type="spellStart"/>
      <w:r w:rsidR="00E22B2D">
        <w:t>Bloemendal</w:t>
      </w:r>
      <w:proofErr w:type="spellEnd"/>
      <w:r w:rsidR="00E22B2D">
        <w:t xml:space="preserve">” might denote a specific </w:t>
      </w:r>
      <w:r w:rsidR="00A04B0F">
        <w:t>farm or estate.  On the other hand, in this context, it might also have the meaning of “at.”</w:t>
      </w:r>
    </w:p>
    <w:p w14:paraId="5D3C3A91" w14:textId="52B59AD7" w:rsidR="00805D8A" w:rsidRDefault="007041E4" w:rsidP="00BC24E3">
      <w:r>
        <w:t xml:space="preserve">The entry </w:t>
      </w:r>
      <w:r w:rsidR="00A04B0F">
        <w:t xml:space="preserve">in the marriage register </w:t>
      </w:r>
      <w:r>
        <w:t xml:space="preserve">indicates that the </w:t>
      </w:r>
      <w:r w:rsidR="00A04B0F">
        <w:t>wedding</w:t>
      </w:r>
      <w:r>
        <w:t xml:space="preserve"> took place at New Harlem.  It also specifies</w:t>
      </w:r>
      <w:r w:rsidR="009F0B8A">
        <w:t xml:space="preserve">, by the terms young man and young lady, </w:t>
      </w:r>
      <w:r>
        <w:t xml:space="preserve">that neither </w:t>
      </w:r>
      <w:r w:rsidR="00A04B0F">
        <w:t xml:space="preserve">partner </w:t>
      </w:r>
      <w:r>
        <w:t>had been previously married.  In an age of frequent early mortality, marriages involving widows and widowers were common.</w:t>
      </w:r>
      <w:r w:rsidR="00A17066">
        <w:rPr>
          <w:rStyle w:val="FootnoteReference"/>
        </w:rPr>
        <w:footnoteReference w:id="53"/>
      </w:r>
      <w:r>
        <w:t xml:space="preserve">  </w:t>
      </w:r>
    </w:p>
    <w:p w14:paraId="0D73CB37" w14:textId="49F4F9B9" w:rsidR="007041E4" w:rsidRDefault="007041E4" w:rsidP="00BC24E3">
      <w:r>
        <w:t xml:space="preserve">It is almost certain that both bride and groom were </w:t>
      </w:r>
      <w:r w:rsidR="00EE20D0">
        <w:t>Black</w:t>
      </w:r>
      <w:r w:rsidR="00BB0B0B">
        <w:t xml:space="preserve">. </w:t>
      </w:r>
      <w:r w:rsidR="009F0B8A">
        <w:t xml:space="preserve"> Most</w:t>
      </w:r>
      <w:r w:rsidR="00EE20D0">
        <w:t xml:space="preserve"> of the early slaves in the New Netherlands were brought from Portuguese territories</w:t>
      </w:r>
      <w:r w:rsidR="009F0B8A">
        <w:t xml:space="preserve"> in Africa</w:t>
      </w:r>
      <w:r w:rsidR="00901A4C">
        <w:t xml:space="preserve"> or from Brazil</w:t>
      </w:r>
      <w:r w:rsidR="00EE20D0">
        <w:t>.  Angola or Van Angola was a common name among former slaves of the Dutch West India Company</w:t>
      </w:r>
      <w:r w:rsidR="00366652">
        <w:t>.  S</w:t>
      </w:r>
      <w:r w:rsidR="004802F6">
        <w:t xml:space="preserve">tarting in the late 1630s, </w:t>
      </w:r>
      <w:proofErr w:type="gramStart"/>
      <w:r w:rsidR="00366652">
        <w:t>a number of</w:t>
      </w:r>
      <w:proofErr w:type="gramEnd"/>
      <w:r w:rsidR="00366652">
        <w:t xml:space="preserve"> the Company’s long-serving slaves </w:t>
      </w:r>
      <w:r w:rsidR="004802F6">
        <w:t xml:space="preserve">were manumitted and settled on small grants of land along the West Side of the Bowery </w:t>
      </w:r>
      <w:r w:rsidR="00E22B2D">
        <w:t xml:space="preserve">between </w:t>
      </w:r>
      <w:r w:rsidR="004802F6">
        <w:t xml:space="preserve">today’s </w:t>
      </w:r>
      <w:r w:rsidR="00E22B2D">
        <w:t>Houston and 14</w:t>
      </w:r>
      <w:r w:rsidR="00E22B2D" w:rsidRPr="00E22B2D">
        <w:rPr>
          <w:vertAlign w:val="superscript"/>
        </w:rPr>
        <w:t>th</w:t>
      </w:r>
      <w:r w:rsidR="00E22B2D">
        <w:t xml:space="preserve"> </w:t>
      </w:r>
      <w:proofErr w:type="spellStart"/>
      <w:r w:rsidR="00E22B2D">
        <w:t>Sts</w:t>
      </w:r>
      <w:proofErr w:type="spellEnd"/>
      <w:r w:rsidR="004802F6">
        <w:t>.</w:t>
      </w:r>
      <w:r w:rsidR="008842B1" w:rsidRPr="008842B1">
        <w:rPr>
          <w:rStyle w:val="Emphasis"/>
        </w:rPr>
        <w:t xml:space="preserve"> </w:t>
      </w:r>
      <w:r w:rsidR="008842B1">
        <w:rPr>
          <w:rStyle w:val="FootnoteReference"/>
        </w:rPr>
        <w:footnoteReference w:id="54"/>
      </w:r>
      <w:r w:rsidR="008842B1">
        <w:t xml:space="preserve">  </w:t>
      </w:r>
      <w:r w:rsidR="00BA6D58">
        <w:t>Dorothee was from Barbados</w:t>
      </w:r>
      <w:r w:rsidR="003B1772">
        <w:t xml:space="preserve">, but the name </w:t>
      </w:r>
      <w:proofErr w:type="spellStart"/>
      <w:r w:rsidR="003B1772">
        <w:t>Bresiel</w:t>
      </w:r>
      <w:proofErr w:type="spellEnd"/>
      <w:r w:rsidR="003B1772">
        <w:t xml:space="preserve"> may indicate a connection with the Portuguese colony of Brazil.  At the time, </w:t>
      </w:r>
      <w:proofErr w:type="spellStart"/>
      <w:r w:rsidR="003B1772">
        <w:t>Barbadoes</w:t>
      </w:r>
      <w:proofErr w:type="spellEnd"/>
      <w:r w:rsidR="003B1772">
        <w:t xml:space="preserve"> was a center of the transatlantic slave trade, in which Frederick </w:t>
      </w:r>
      <w:proofErr w:type="spellStart"/>
      <w:r w:rsidR="003B1772">
        <w:t>Philipse</w:t>
      </w:r>
      <w:proofErr w:type="spellEnd"/>
      <w:r w:rsidR="003B1772">
        <w:t xml:space="preserve"> was a major </w:t>
      </w:r>
      <w:r w:rsidR="00D67BAD">
        <w:t>player</w:t>
      </w:r>
      <w:r w:rsidR="003B1772">
        <w:t>.</w:t>
      </w:r>
    </w:p>
    <w:p w14:paraId="43E6B170" w14:textId="77777777" w:rsidR="00FF0F55" w:rsidRDefault="00FF0F55" w:rsidP="00A04B0F"/>
    <w:p w14:paraId="34D7E3AA" w14:textId="51D1D771" w:rsidR="00AA3430" w:rsidRDefault="00AA3430" w:rsidP="00A04B0F">
      <w:r>
        <w:t>THE NORTHERN TRIANGLE</w:t>
      </w:r>
    </w:p>
    <w:p w14:paraId="5CCABE2F" w14:textId="0FDD956E" w:rsidR="00D31CE5" w:rsidRDefault="00A04B0F" w:rsidP="00954F00">
      <w:r>
        <w:t xml:space="preserve">Following Nicoll’s 1668 grant to Isaac </w:t>
      </w:r>
      <w:proofErr w:type="spellStart"/>
      <w:r>
        <w:t>Bedlow</w:t>
      </w:r>
      <w:proofErr w:type="spellEnd"/>
      <w:r>
        <w:t xml:space="preserve">, there remained a large triangle of </w:t>
      </w:r>
      <w:r w:rsidR="00F96343">
        <w:t>ungranted land</w:t>
      </w:r>
      <w:r>
        <w:t xml:space="preserve"> to the north of </w:t>
      </w:r>
      <w:r w:rsidR="00A215B6">
        <w:t xml:space="preserve">the </w:t>
      </w:r>
      <w:proofErr w:type="spellStart"/>
      <w:r w:rsidR="00A215B6">
        <w:t>Bedlow</w:t>
      </w:r>
      <w:proofErr w:type="spellEnd"/>
      <w:r w:rsidR="00A215B6">
        <w:t xml:space="preserve"> gran</w:t>
      </w:r>
      <w:r>
        <w:t>t.   It ran from 107</w:t>
      </w:r>
      <w:r w:rsidRPr="00A04B0F">
        <w:rPr>
          <w:vertAlign w:val="superscript"/>
        </w:rPr>
        <w:t>th</w:t>
      </w:r>
      <w:r>
        <w:t xml:space="preserve"> to an acute angle between the Harlem Line and the </w:t>
      </w:r>
      <w:r>
        <w:lastRenderedPageBreak/>
        <w:t>Hudson River at what is now the foot of St. Clair Place, formerly West 129</w:t>
      </w:r>
      <w:r w:rsidRPr="00A04B0F">
        <w:rPr>
          <w:vertAlign w:val="superscript"/>
        </w:rPr>
        <w:t>th</w:t>
      </w:r>
      <w:r>
        <w:t xml:space="preserve"> St.</w:t>
      </w:r>
      <w:r w:rsidR="00300CDC">
        <w:rPr>
          <w:rStyle w:val="FootnoteReference"/>
        </w:rPr>
        <w:footnoteReference w:id="55"/>
      </w:r>
      <w:r w:rsidR="00F0045B">
        <w:t xml:space="preserve">  </w:t>
      </w:r>
      <w:r w:rsidR="00F0045B" w:rsidRPr="00F0045B">
        <w:t xml:space="preserve">The end of the Harlem Line was described by the surveyor Casimir </w:t>
      </w:r>
      <w:proofErr w:type="spellStart"/>
      <w:r w:rsidR="00F0045B" w:rsidRPr="00F0045B">
        <w:t>Goerck</w:t>
      </w:r>
      <w:proofErr w:type="spellEnd"/>
      <w:r w:rsidR="00F0045B" w:rsidRPr="00F0045B">
        <w:t xml:space="preserve"> in 1785 as being the site of a certain sycamore tree.  It was, according to Stokes</w:t>
      </w:r>
      <w:r w:rsidR="00F96343">
        <w:t>,</w:t>
      </w:r>
      <w:r w:rsidR="00F0045B" w:rsidRPr="00F0045B">
        <w:t xml:space="preserve"> just west of 12th Avenue, very near the foot of the steps</w:t>
      </w:r>
      <w:r w:rsidR="00A215B6">
        <w:t xml:space="preserve"> now</w:t>
      </w:r>
      <w:r w:rsidR="00F0045B" w:rsidRPr="00F0045B">
        <w:t xml:space="preserve"> leading down from Riverside Park</w:t>
      </w:r>
      <w:r w:rsidR="009B2778">
        <w:t>.</w:t>
      </w:r>
      <w:r w:rsidR="009B2778">
        <w:rPr>
          <w:rStyle w:val="FootnoteReference"/>
        </w:rPr>
        <w:footnoteReference w:id="56"/>
      </w:r>
      <w:r w:rsidR="00F0045B">
        <w:t xml:space="preserve"> </w:t>
      </w:r>
      <w:r w:rsidR="00300CDC">
        <w:t xml:space="preserve">In 1677 the northern tip of the triangle, amounting to about 30 acres, was granted by Governor Andros to Hendrick </w:t>
      </w:r>
      <w:proofErr w:type="spellStart"/>
      <w:r w:rsidR="00300CDC">
        <w:t>Hendricksen</w:t>
      </w:r>
      <w:proofErr w:type="spellEnd"/>
      <w:r w:rsidR="00300CDC">
        <w:t xml:space="preserve"> Bosh</w:t>
      </w:r>
      <w:r w:rsidR="00D601B8">
        <w:t>, a sword cutler.</w:t>
      </w:r>
      <w:r w:rsidR="00F0045B">
        <w:rPr>
          <w:rStyle w:val="FootnoteReference"/>
        </w:rPr>
        <w:footnoteReference w:id="57"/>
      </w:r>
    </w:p>
    <w:p w14:paraId="3234A554" w14:textId="13EA3FBF" w:rsidR="001F3AE5" w:rsidRDefault="00F96343" w:rsidP="001F3AE5">
      <w:r>
        <w:t xml:space="preserve">Under the </w:t>
      </w:r>
      <w:proofErr w:type="spellStart"/>
      <w:r>
        <w:t>Dongan</w:t>
      </w:r>
      <w:proofErr w:type="spellEnd"/>
      <w:r>
        <w:t xml:space="preserve"> Charter of 168</w:t>
      </w:r>
      <w:r w:rsidR="00F335C0">
        <w:t>6</w:t>
      </w:r>
      <w:r>
        <w:t>, th</w:t>
      </w:r>
      <w:r w:rsidR="001F3AE5">
        <w:t xml:space="preserve">e </w:t>
      </w:r>
      <w:r w:rsidR="00AA3430">
        <w:t xml:space="preserve">now-truncated triangle </w:t>
      </w:r>
      <w:r>
        <w:t>became the property of</w:t>
      </w:r>
      <w:r w:rsidR="001F3AE5">
        <w:t xml:space="preserve"> the City of New York</w:t>
      </w:r>
      <w:r w:rsidR="00C73F64">
        <w:t>.</w:t>
      </w:r>
      <w:r w:rsidR="001F3AE5">
        <w:t xml:space="preserve">  I</w:t>
      </w:r>
      <w:r w:rsidR="00221733">
        <w:t>n</w:t>
      </w:r>
      <w:r w:rsidR="001F3AE5">
        <w:t xml:space="preserve"> 1700</w:t>
      </w:r>
      <w:r w:rsidR="00C73F64">
        <w:t xml:space="preserve">, to help finance the construction of the new City Hall on Wall Street, </w:t>
      </w:r>
      <w:r w:rsidR="001F3AE5">
        <w:t xml:space="preserve">this </w:t>
      </w:r>
      <w:r w:rsidR="00C73F64">
        <w:t xml:space="preserve">parcel </w:t>
      </w:r>
      <w:r w:rsidR="001F3AE5">
        <w:t xml:space="preserve">was ordered surveyed and sold </w:t>
      </w:r>
      <w:r w:rsidR="00221733">
        <w:t xml:space="preserve">at auction.  The winning bid was from John </w:t>
      </w:r>
      <w:proofErr w:type="spellStart"/>
      <w:r w:rsidR="00221733">
        <w:t>Miseroll</w:t>
      </w:r>
      <w:proofErr w:type="spellEnd"/>
      <w:r w:rsidR="00221733">
        <w:t xml:space="preserve"> Jr., yeoman, of Bushwick., who afterward assigned his bid to Captain Jaco</w:t>
      </w:r>
      <w:r w:rsidR="00C73F64">
        <w:t>b</w:t>
      </w:r>
      <w:r w:rsidR="00221733">
        <w:t xml:space="preserve"> </w:t>
      </w:r>
      <w:proofErr w:type="spellStart"/>
      <w:r w:rsidR="00221733">
        <w:t>DeKey</w:t>
      </w:r>
      <w:proofErr w:type="spellEnd"/>
      <w:r w:rsidR="00221733">
        <w:t xml:space="preserve">.  The final deed to </w:t>
      </w:r>
      <w:proofErr w:type="spellStart"/>
      <w:r w:rsidR="00221733">
        <w:t>DeKey</w:t>
      </w:r>
      <w:proofErr w:type="spellEnd"/>
      <w:r w:rsidR="00221733">
        <w:t xml:space="preserve"> gave the acreage as 235 acres, 3 rods and 18 perches</w:t>
      </w:r>
      <w:r w:rsidR="001F3AE5">
        <w:t xml:space="preserve"> </w:t>
      </w:r>
      <w:r w:rsidR="00221733">
        <w:t>and the price as 237 pounds.</w:t>
      </w:r>
      <w:r w:rsidR="009B2778">
        <w:rPr>
          <w:rStyle w:val="FootnoteReference"/>
        </w:rPr>
        <w:footnoteReference w:id="58"/>
      </w:r>
      <w:r w:rsidR="00221733">
        <w:t xml:space="preserve"> </w:t>
      </w:r>
    </w:p>
    <w:p w14:paraId="6B4493D9" w14:textId="4323688F" w:rsidR="002559B9" w:rsidRDefault="00221733" w:rsidP="001F3AE5">
      <w:r>
        <w:t xml:space="preserve">Bosh’s </w:t>
      </w:r>
      <w:r w:rsidR="00C73F64">
        <w:t xml:space="preserve">30-acre </w:t>
      </w:r>
      <w:r>
        <w:t>farm was sold before his death to Thomas Tourneu</w:t>
      </w:r>
      <w:r w:rsidR="00C73F64">
        <w:t>r</w:t>
      </w:r>
      <w:r w:rsidR="006B6263">
        <w:t>, a member of one of New Harlem’s leading familie</w:t>
      </w:r>
      <w:r w:rsidR="00A215B6">
        <w:t>s</w:t>
      </w:r>
      <w:r w:rsidR="006B6263">
        <w:t>.</w:t>
      </w:r>
      <w:r w:rsidR="009B7551">
        <w:rPr>
          <w:rStyle w:val="FootnoteReference"/>
        </w:rPr>
        <w:footnoteReference w:id="59"/>
      </w:r>
      <w:r w:rsidR="00C73F64">
        <w:t xml:space="preserve">   </w:t>
      </w:r>
      <w:r>
        <w:t>Tourne</w:t>
      </w:r>
      <w:r w:rsidR="006B6263">
        <w:t>u</w:t>
      </w:r>
      <w:r>
        <w:t xml:space="preserve">r </w:t>
      </w:r>
      <w:r w:rsidR="009B2778">
        <w:t xml:space="preserve">already </w:t>
      </w:r>
      <w:r>
        <w:t xml:space="preserve">owned the farm when </w:t>
      </w:r>
      <w:proofErr w:type="spellStart"/>
      <w:r>
        <w:t>DeKey</w:t>
      </w:r>
      <w:proofErr w:type="spellEnd"/>
      <w:r>
        <w:t xml:space="preserve"> </w:t>
      </w:r>
      <w:r w:rsidR="00660619">
        <w:t xml:space="preserve">got the larger parcel to the </w:t>
      </w:r>
      <w:proofErr w:type="gramStart"/>
      <w:r w:rsidR="00660619">
        <w:t>south.</w:t>
      </w:r>
      <w:r>
        <w:t>.</w:t>
      </w:r>
      <w:proofErr w:type="gramEnd"/>
      <w:r>
        <w:t xml:space="preserve">  </w:t>
      </w:r>
      <w:r w:rsidR="00660619">
        <w:t xml:space="preserve">After </w:t>
      </w:r>
      <w:r w:rsidR="006B6263">
        <w:t>Tourneur died in 1710</w:t>
      </w:r>
      <w:r w:rsidR="00660619">
        <w:t xml:space="preserve">, </w:t>
      </w:r>
      <w:proofErr w:type="spellStart"/>
      <w:r>
        <w:t>DeKey</w:t>
      </w:r>
      <w:proofErr w:type="spellEnd"/>
      <w:r>
        <w:t xml:space="preserve"> </w:t>
      </w:r>
      <w:r w:rsidR="006B6263">
        <w:t xml:space="preserve">purchased the 30 acres from </w:t>
      </w:r>
      <w:r>
        <w:t xml:space="preserve">Tourneur’s </w:t>
      </w:r>
      <w:r w:rsidR="002559B9">
        <w:t xml:space="preserve">heirs. No record of Jacobus </w:t>
      </w:r>
      <w:proofErr w:type="spellStart"/>
      <w:r w:rsidR="002559B9">
        <w:t>DeKey’s</w:t>
      </w:r>
      <w:proofErr w:type="spellEnd"/>
      <w:r w:rsidR="002559B9">
        <w:t xml:space="preserve"> death has been found</w:t>
      </w:r>
      <w:r w:rsidR="00E55DD0">
        <w:t xml:space="preserve">, but his </w:t>
      </w:r>
      <w:r w:rsidR="002559B9">
        <w:t>son Thomas advertise</w:t>
      </w:r>
      <w:r w:rsidR="00AA3430">
        <w:t>d</w:t>
      </w:r>
      <w:r w:rsidR="002559B9">
        <w:t xml:space="preserve"> the farm for sale in 1732.  In a deed dated before May 1, 1735, Thomas </w:t>
      </w:r>
      <w:proofErr w:type="spellStart"/>
      <w:r w:rsidR="002559B9">
        <w:t>DeKey</w:t>
      </w:r>
      <w:proofErr w:type="spellEnd"/>
      <w:r w:rsidR="002559B9">
        <w:t xml:space="preserve"> sold the property to </w:t>
      </w:r>
      <w:proofErr w:type="spellStart"/>
      <w:r w:rsidR="002559B9">
        <w:t>Adriaen</w:t>
      </w:r>
      <w:proofErr w:type="spellEnd"/>
      <w:r w:rsidR="002559B9">
        <w:t xml:space="preserve"> Hoogland and Harman </w:t>
      </w:r>
      <w:proofErr w:type="spellStart"/>
      <w:r w:rsidR="002559B9">
        <w:t>Vandewater</w:t>
      </w:r>
      <w:proofErr w:type="spellEnd"/>
      <w:r w:rsidR="00E55DD0">
        <w:t xml:space="preserve">, who </w:t>
      </w:r>
      <w:r w:rsidR="00530B87">
        <w:t>divided</w:t>
      </w:r>
      <w:r w:rsidR="00E55DD0">
        <w:t xml:space="preserve"> it between them</w:t>
      </w:r>
      <w:r w:rsidR="002559B9">
        <w:t>.</w:t>
      </w:r>
      <w:r w:rsidR="003039EE" w:rsidRPr="003039EE">
        <w:rPr>
          <w:rStyle w:val="Emphasis"/>
        </w:rPr>
        <w:t xml:space="preserve"> </w:t>
      </w:r>
      <w:r w:rsidR="003039EE">
        <w:rPr>
          <w:rStyle w:val="FootnoteReference"/>
        </w:rPr>
        <w:footnoteReference w:id="60"/>
      </w:r>
      <w:r w:rsidR="00455425">
        <w:rPr>
          <w:rStyle w:val="Emphasis"/>
        </w:rPr>
        <w:t xml:space="preserve"> </w:t>
      </w:r>
      <w:r w:rsidR="00455425" w:rsidRPr="00455425">
        <w:rPr>
          <w:rStyle w:val="Emphasis"/>
          <w:i w:val="0"/>
          <w:iCs w:val="0"/>
        </w:rPr>
        <w:t xml:space="preserve"> </w:t>
      </w:r>
      <w:r w:rsidR="008D2A9B">
        <w:t xml:space="preserve">Hoogland’s share was the farm conveyed by his executors to Nicholas </w:t>
      </w:r>
      <w:proofErr w:type="spellStart"/>
      <w:r w:rsidR="008D2A9B">
        <w:t>DePeyster</w:t>
      </w:r>
      <w:proofErr w:type="spellEnd"/>
      <w:r w:rsidR="008D2A9B">
        <w:t xml:space="preserve"> in 1785.  In 1795, Nicholas </w:t>
      </w:r>
      <w:proofErr w:type="spellStart"/>
      <w:r w:rsidR="008D2A9B">
        <w:t>DePeyster’s</w:t>
      </w:r>
      <w:proofErr w:type="spellEnd"/>
      <w:r w:rsidR="008D2A9B">
        <w:t xml:space="preserve"> barn was on </w:t>
      </w:r>
      <w:r w:rsidR="0088562A">
        <w:t xml:space="preserve">or near </w:t>
      </w:r>
      <w:r w:rsidR="008D2A9B">
        <w:t xml:space="preserve">the site of </w:t>
      </w:r>
      <w:proofErr w:type="spellStart"/>
      <w:r w:rsidR="008D2A9B">
        <w:t>Adriaen</w:t>
      </w:r>
      <w:proofErr w:type="spellEnd"/>
      <w:r w:rsidR="008D2A9B">
        <w:t xml:space="preserve"> Hoogland’s house</w:t>
      </w:r>
      <w:r w:rsidR="0088562A">
        <w:t>.</w:t>
      </w:r>
      <w:r w:rsidR="003039EE">
        <w:rPr>
          <w:rStyle w:val="FootnoteReference"/>
        </w:rPr>
        <w:footnoteReference w:id="61"/>
      </w:r>
      <w:r w:rsidR="0088562A">
        <w:t xml:space="preserve">  </w:t>
      </w:r>
    </w:p>
    <w:p w14:paraId="535D9C34" w14:textId="440E9894" w:rsidR="00705B29" w:rsidRDefault="00705B29" w:rsidP="001F3AE5">
      <w:r>
        <w:t>BLOOMINGDALE IN THE CENSUS OF 1703</w:t>
      </w:r>
    </w:p>
    <w:p w14:paraId="2CD2571D" w14:textId="1309062F" w:rsidR="00586330" w:rsidRPr="00586330" w:rsidRDefault="00586330" w:rsidP="00586330">
      <w:r w:rsidRPr="00586330">
        <w:t xml:space="preserve">There was </w:t>
      </w:r>
      <w:r w:rsidR="006D2DD6">
        <w:t>very little</w:t>
      </w:r>
      <w:r w:rsidRPr="00586330">
        <w:t xml:space="preserve"> systematic recording of land conveyances in late-17</w:t>
      </w:r>
      <w:r w:rsidRPr="00586330">
        <w:rPr>
          <w:vertAlign w:val="superscript"/>
        </w:rPr>
        <w:t>th</w:t>
      </w:r>
      <w:r w:rsidRPr="00586330">
        <w:t xml:space="preserve"> Century New York.  Nevertheless, in the colonial deeds, wills and other records found by Stokes, there are numerous mentions of land in Bloomingdale being bought, sold, bequeathed, leased, mortgaged, and foreclosed.</w:t>
      </w:r>
      <w:r w:rsidRPr="00586330">
        <w:rPr>
          <w:rStyle w:val="FootnoteReference"/>
        </w:rPr>
        <w:footnoteReference w:id="62"/>
      </w:r>
      <w:r w:rsidRPr="00586330">
        <w:t xml:space="preserve">     </w:t>
      </w:r>
    </w:p>
    <w:p w14:paraId="1C64C97B" w14:textId="6A5305CF" w:rsidR="00586330" w:rsidRPr="00586330" w:rsidRDefault="00586330" w:rsidP="00586330">
      <w:r w:rsidRPr="00586330">
        <w:t>From this, one might imagine that Bloomingdale was a thriving agricultural community by the beginning of the 18</w:t>
      </w:r>
      <w:r w:rsidRPr="00586330">
        <w:rPr>
          <w:vertAlign w:val="superscript"/>
        </w:rPr>
        <w:t>th</w:t>
      </w:r>
      <w:r w:rsidRPr="00586330">
        <w:t xml:space="preserve"> Century.  However, the available evidence indicates that, prior to the construction of the Bloomingdale Road, which was in or about 1708, Bloomingdale was still populated by </w:t>
      </w:r>
      <w:r w:rsidR="00C8136A">
        <w:t>fewer than a dozen</w:t>
      </w:r>
      <w:r w:rsidRPr="00586330">
        <w:t xml:space="preserve"> families. </w:t>
      </w:r>
    </w:p>
    <w:p w14:paraId="40EC2AEF" w14:textId="3CACDE72" w:rsidR="00586330" w:rsidRPr="00586330" w:rsidRDefault="00586330" w:rsidP="00586330">
      <w:r w:rsidRPr="00586330">
        <w:t>Prior to 1708, there were only two censuses of the Province of New York</w:t>
      </w:r>
      <w:r w:rsidR="00F96343">
        <w:t>, those of</w:t>
      </w:r>
      <w:r w:rsidRPr="00586330">
        <w:t xml:space="preserve"> in 1698 and 1703. Records of the 1698 census have survived for some counties, including lists of the names of the heads of households in each town.  Unfortunately, detailed data for New York County (Manhattan) has not survived</w:t>
      </w:r>
      <w:r w:rsidRPr="00586330">
        <w:rPr>
          <w:rStyle w:val="FootnoteReference"/>
        </w:rPr>
        <w:footnoteReference w:id="63"/>
      </w:r>
      <w:r w:rsidRPr="00586330">
        <w:t xml:space="preserve">.  Even the subtotals for the individual wards of New York City in 1698 are no longer to be found. </w:t>
      </w:r>
    </w:p>
    <w:p w14:paraId="3F37F3EF" w14:textId="55C9D0B5" w:rsidR="00586330" w:rsidRPr="00586330" w:rsidRDefault="00586330" w:rsidP="00586330">
      <w:r w:rsidRPr="00586330">
        <w:lastRenderedPageBreak/>
        <w:t xml:space="preserve">Much more information </w:t>
      </w:r>
      <w:r w:rsidR="00B3210F">
        <w:t>survived</w:t>
      </w:r>
      <w:r w:rsidRPr="00586330">
        <w:t xml:space="preserve"> from the 1703 census, including lists of the heads of households in each of the city’s wards</w:t>
      </w:r>
      <w:r w:rsidR="00B3210F">
        <w:t>.</w:t>
      </w:r>
      <w:r w:rsidRPr="00586330">
        <w:t xml:space="preserve">  At that time, the city was divided into six wards. Five of the wards covered the city’s built-up area, which was roughly south of Chambers Street.  The entire remainder of the Island was included in the “</w:t>
      </w:r>
      <w:proofErr w:type="gramStart"/>
      <w:r w:rsidRPr="00586330">
        <w:t>Out Ward</w:t>
      </w:r>
      <w:proofErr w:type="gramEnd"/>
      <w:r w:rsidRPr="00586330">
        <w:t>.”</w:t>
      </w:r>
    </w:p>
    <w:p w14:paraId="6095DAE2" w14:textId="3E54D841" w:rsidR="00586330" w:rsidRPr="00586330" w:rsidRDefault="00586330" w:rsidP="00586330">
      <w:r w:rsidRPr="00586330">
        <w:t xml:space="preserve">The </w:t>
      </w:r>
      <w:proofErr w:type="gramStart"/>
      <w:r w:rsidRPr="00586330">
        <w:t>Out Ward</w:t>
      </w:r>
      <w:proofErr w:type="gramEnd"/>
      <w:r w:rsidRPr="00586330">
        <w:t xml:space="preserve"> was itself divided into two parts.  One part was the quasi-autonomous Town of Harlem, which was also the Harlem Division of the </w:t>
      </w:r>
      <w:proofErr w:type="gramStart"/>
      <w:r w:rsidRPr="00586330">
        <w:t>Out Ward</w:t>
      </w:r>
      <w:proofErr w:type="gramEnd"/>
      <w:r w:rsidRPr="00586330">
        <w:t xml:space="preserve">. Everything west and south of the Harlem Line, including Bloomingdale, was the Bowery Division of the </w:t>
      </w:r>
      <w:proofErr w:type="gramStart"/>
      <w:r w:rsidRPr="00586330">
        <w:t>Out Ward</w:t>
      </w:r>
      <w:proofErr w:type="gramEnd"/>
      <w:r w:rsidRPr="00586330">
        <w:t xml:space="preserve">.  In addition to Bloomingdale, the Bowery Division included such areas as today’s Lower East Side, Greenwich Village, </w:t>
      </w:r>
      <w:proofErr w:type="gramStart"/>
      <w:r w:rsidRPr="00586330">
        <w:t>Chelsea</w:t>
      </w:r>
      <w:proofErr w:type="gramEnd"/>
      <w:r w:rsidRPr="00586330">
        <w:t xml:space="preserve"> and Kips Bay.</w:t>
      </w:r>
      <w:r w:rsidRPr="00586330">
        <w:rPr>
          <w:rStyle w:val="FootnoteReference"/>
        </w:rPr>
        <w:footnoteReference w:id="64"/>
      </w:r>
      <w:r w:rsidRPr="00586330">
        <w:t xml:space="preserve">  </w:t>
      </w:r>
    </w:p>
    <w:p w14:paraId="0B320E98" w14:textId="0FAA64A8" w:rsidR="00586330" w:rsidRDefault="00586330" w:rsidP="00586330">
      <w:r w:rsidRPr="00586330">
        <w:t>The results of the 1703 census of New York City were published in 1849 under the auspices of the New York State Senate</w:t>
      </w:r>
      <w:r w:rsidR="007A5DD0">
        <w:t>.</w:t>
      </w:r>
      <w:r w:rsidR="00ED6ECE">
        <w:rPr>
          <w:rStyle w:val="FootnoteReference"/>
        </w:rPr>
        <w:footnoteReference w:id="65"/>
      </w:r>
      <w:r w:rsidRPr="00586330">
        <w:t xml:space="preserve"> </w:t>
      </w:r>
      <w:r w:rsidR="00DF5DF5">
        <w:t xml:space="preserve"> On the following page is the table showing</w:t>
      </w:r>
      <w:r w:rsidR="00CE13CD">
        <w:t xml:space="preserve"> the </w:t>
      </w:r>
      <w:r w:rsidR="00DF5DF5">
        <w:t xml:space="preserve">households </w:t>
      </w:r>
      <w:r w:rsidR="00CE13CD">
        <w:t xml:space="preserve">in the </w:t>
      </w:r>
      <w:proofErr w:type="gramStart"/>
      <w:r w:rsidR="00DF5DF5">
        <w:t>Out Ward</w:t>
      </w:r>
      <w:proofErr w:type="gramEnd"/>
      <w:r w:rsidR="00DF5DF5">
        <w:t xml:space="preserve">, listed by </w:t>
      </w:r>
      <w:r w:rsidRPr="00586330">
        <w:t xml:space="preserve">“Masters of </w:t>
      </w:r>
      <w:proofErr w:type="spellStart"/>
      <w:r w:rsidRPr="00586330">
        <w:t>Familys</w:t>
      </w:r>
      <w:proofErr w:type="spellEnd"/>
      <w:r w:rsidR="00DF5DF5">
        <w:t>.”</w:t>
      </w:r>
      <w:r w:rsidR="00B3210F">
        <w:rPr>
          <w:rStyle w:val="FootnoteReference"/>
        </w:rPr>
        <w:footnoteReference w:id="66"/>
      </w:r>
    </w:p>
    <w:p w14:paraId="5CC2A2D5" w14:textId="77777777" w:rsidR="00E45991" w:rsidRPr="00586330" w:rsidRDefault="00E45991" w:rsidP="00E45991">
      <w:r w:rsidRPr="00586330">
        <w:t xml:space="preserve">Unfortunately, the available data from the 1703 census must be taken with more than a grain of salt.  It suffered from language barriers, physical damage to the records, and the probable reluctance of a wartime population to cooperate with census takers whose main job was to identify males, including boys as young as 16, eligible for conscription.  </w:t>
      </w:r>
    </w:p>
    <w:p w14:paraId="0DAA63C8" w14:textId="595EC0C7" w:rsidR="00E45991" w:rsidRDefault="000C4E46" w:rsidP="00586330">
      <w:r>
        <w:t>T</w:t>
      </w:r>
      <w:r w:rsidR="00A644E9">
        <w:t xml:space="preserve">he table </w:t>
      </w:r>
      <w:r>
        <w:t xml:space="preserve">breaks out data for </w:t>
      </w:r>
      <w:r w:rsidR="00A644E9">
        <w:t>Negroes but does not distinguish between slave</w:t>
      </w:r>
      <w:r w:rsidR="00161FF1">
        <w:t>s</w:t>
      </w:r>
      <w:r w:rsidR="00A644E9">
        <w:t xml:space="preserve"> and free</w:t>
      </w:r>
      <w:r w:rsidR="00161FF1">
        <w:t xml:space="preserve"> Blacks. </w:t>
      </w:r>
      <w:r>
        <w:t xml:space="preserve">This would have been an additional complication for the census takers, especially since there was an intermediate category of “half-slave,” in which the child of a manumitted person remained a slave for a set period. </w:t>
      </w:r>
      <w:r w:rsidR="0073663B">
        <w:t xml:space="preserve"> Note </w:t>
      </w:r>
      <w:proofErr w:type="gramStart"/>
      <w:r w:rsidR="0073663B">
        <w:t>that</w:t>
      </w:r>
      <w:r>
        <w:t xml:space="preserve"> </w:t>
      </w:r>
      <w:r w:rsidR="0073663B">
        <w:t xml:space="preserve"> Bloomingdale</w:t>
      </w:r>
      <w:proofErr w:type="gramEnd"/>
      <w:r w:rsidR="0073663B">
        <w:t xml:space="preserve"> had had at least one Black landowner, John </w:t>
      </w:r>
      <w:proofErr w:type="spellStart"/>
      <w:r w:rsidR="0073663B">
        <w:t>Evertse</w:t>
      </w:r>
      <w:proofErr w:type="spellEnd"/>
      <w:r w:rsidR="0073663B">
        <w:t>, mentioned earlier in connection with Lot 7 of the Syndicate’s lots.</w:t>
      </w:r>
    </w:p>
    <w:p w14:paraId="6886A2C9" w14:textId="3ED49CED" w:rsidR="006B3217" w:rsidRPr="00586330" w:rsidRDefault="006B3217" w:rsidP="00586330">
      <w:r>
        <w:rPr>
          <w:noProof/>
        </w:rPr>
        <w:lastRenderedPageBreak/>
        <w:drawing>
          <wp:inline distT="0" distB="0" distL="0" distR="0" wp14:anchorId="6EA50900" wp14:editId="2A2A411E">
            <wp:extent cx="5943600" cy="4457700"/>
            <wp:effectExtent l="0" t="742950" r="0" b="72390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A66865B" w14:textId="3210DE23" w:rsidR="00586330" w:rsidRPr="00586330" w:rsidRDefault="00586330" w:rsidP="00586330"/>
    <w:p w14:paraId="6A3D202E" w14:textId="77777777" w:rsidR="00586330" w:rsidRPr="00586330" w:rsidRDefault="00586330" w:rsidP="00586330">
      <w:pPr>
        <w:rPr>
          <w:noProof/>
        </w:rPr>
      </w:pPr>
    </w:p>
    <w:p w14:paraId="46087DB8" w14:textId="77777777" w:rsidR="00586330" w:rsidRPr="00586330" w:rsidRDefault="00586330" w:rsidP="00586330">
      <w:r w:rsidRPr="00586330">
        <w:t xml:space="preserve">The transcribed list includes 51 households with a total of 342 people—men, women and children, white and Black—for the entire </w:t>
      </w:r>
      <w:proofErr w:type="gramStart"/>
      <w:r w:rsidRPr="00586330">
        <w:t>Out Ward</w:t>
      </w:r>
      <w:proofErr w:type="gramEnd"/>
      <w:r w:rsidRPr="00586330">
        <w:t xml:space="preserve">.  </w:t>
      </w:r>
    </w:p>
    <w:p w14:paraId="4ECBE318" w14:textId="20CB28C0" w:rsidR="00586330" w:rsidRPr="00586330" w:rsidRDefault="00586330" w:rsidP="00586330">
      <w:r w:rsidRPr="00586330">
        <w:t xml:space="preserve">The 1849 transcription </w:t>
      </w:r>
      <w:r w:rsidR="0005188A">
        <w:t>has</w:t>
      </w:r>
      <w:r w:rsidRPr="00586330">
        <w:t xml:space="preserve"> numerous gaps.  After nearly 150 years, the original documents were already in poor condition.  Notice the asterisked names and the footnote explaining</w:t>
      </w:r>
      <w:r w:rsidR="00992715">
        <w:t>:</w:t>
      </w:r>
      <w:r w:rsidRPr="00586330">
        <w:t xml:space="preserve"> “These names cannot be made out on account of the MS. being torn.”   Of the 51 households listed, 12 cannot be identified because either surnames or given names, or both, are incomplete </w:t>
      </w:r>
      <w:proofErr w:type="gramStart"/>
      <w:r w:rsidRPr="00586330">
        <w:t>or</w:t>
      </w:r>
      <w:proofErr w:type="gramEnd"/>
      <w:r w:rsidRPr="00586330">
        <w:t xml:space="preserve"> </w:t>
      </w:r>
      <w:r w:rsidR="00992715">
        <w:t xml:space="preserve">are </w:t>
      </w:r>
      <w:r w:rsidRPr="00586330">
        <w:t xml:space="preserve">entirely missing.  Many of </w:t>
      </w:r>
      <w:r w:rsidR="00992715">
        <w:t xml:space="preserve">the </w:t>
      </w:r>
      <w:r w:rsidRPr="00586330">
        <w:t xml:space="preserve">names have idiosyncratic spellings that are difficult to match with individuals recorded in contemporary </w:t>
      </w:r>
      <w:r w:rsidRPr="00586330">
        <w:lastRenderedPageBreak/>
        <w:t>documents such as the Minutes of the Common Council</w:t>
      </w:r>
      <w:r w:rsidR="007A5DD0">
        <w:t>.</w:t>
      </w:r>
      <w:r w:rsidRPr="00586330">
        <w:rPr>
          <w:rStyle w:val="FootnoteReference"/>
        </w:rPr>
        <w:footnoteReference w:id="67"/>
      </w:r>
      <w:r w:rsidRPr="00586330">
        <w:t xml:space="preserve"> </w:t>
      </w:r>
      <w:r w:rsidRPr="00586330">
        <w:rPr>
          <w:rStyle w:val="FootnoteReference"/>
        </w:rPr>
        <w:footnoteReference w:id="68"/>
      </w:r>
      <w:r w:rsidRPr="00586330">
        <w:t xml:space="preserve"> There is also the fact that, at this period, New York’s Dutch </w:t>
      </w:r>
      <w:r w:rsidR="0005188A">
        <w:t xml:space="preserve">still </w:t>
      </w:r>
      <w:r w:rsidRPr="00586330">
        <w:t>commonly used patronymics rather than surnames.</w:t>
      </w:r>
    </w:p>
    <w:p w14:paraId="7ED3F518" w14:textId="77777777" w:rsidR="00586330" w:rsidRPr="00586330" w:rsidRDefault="00586330" w:rsidP="00586330">
      <w:r w:rsidRPr="00586330">
        <w:t>Out of the 51 household heads listed in the 1703 census, only seven can be identified with reasonable certainty as living in Bloomingdale.  These are:</w:t>
      </w:r>
    </w:p>
    <w:p w14:paraId="246E90B5" w14:textId="059A2B92" w:rsidR="00586330" w:rsidRPr="00586330" w:rsidRDefault="00586330" w:rsidP="00586330">
      <w:pPr>
        <w:ind w:left="720"/>
        <w:rPr>
          <w:rFonts w:ascii="Calibri" w:eastAsia="Times New Roman" w:hAnsi="Calibri" w:cs="Calibri"/>
          <w:color w:val="000000"/>
        </w:rPr>
      </w:pPr>
      <w:r w:rsidRPr="00586330">
        <w:t xml:space="preserve">John </w:t>
      </w:r>
      <w:proofErr w:type="spellStart"/>
      <w:r w:rsidRPr="00586330">
        <w:t>Dikman</w:t>
      </w:r>
      <w:proofErr w:type="spellEnd"/>
      <w:r w:rsidRPr="00586330">
        <w:t xml:space="preserve"> = </w:t>
      </w:r>
      <w:r w:rsidRPr="00586330">
        <w:rPr>
          <w:rFonts w:ascii="Calibri" w:eastAsia="Times New Roman" w:hAnsi="Calibri" w:cs="Calibri"/>
          <w:b/>
          <w:bCs/>
          <w:color w:val="000000"/>
        </w:rPr>
        <w:t xml:space="preserve">Johannes </w:t>
      </w:r>
      <w:proofErr w:type="spellStart"/>
      <w:r w:rsidRPr="00586330">
        <w:rPr>
          <w:rFonts w:ascii="Calibri" w:eastAsia="Times New Roman" w:hAnsi="Calibri" w:cs="Calibri"/>
          <w:b/>
          <w:bCs/>
          <w:color w:val="000000"/>
        </w:rPr>
        <w:t>Dyckman</w:t>
      </w:r>
      <w:proofErr w:type="spellEnd"/>
      <w:r w:rsidRPr="00586330">
        <w:rPr>
          <w:rFonts w:ascii="Calibri" w:eastAsia="Times New Roman" w:hAnsi="Calibri" w:cs="Calibri"/>
          <w:color w:val="000000"/>
        </w:rPr>
        <w:t xml:space="preserve"> who on December 29, 1701, leased a farm in Bloomingdale from Jurien </w:t>
      </w:r>
      <w:proofErr w:type="spellStart"/>
      <w:r w:rsidRPr="00586330">
        <w:rPr>
          <w:rFonts w:ascii="Calibri" w:eastAsia="Times New Roman" w:hAnsi="Calibri" w:cs="Calibri"/>
          <w:color w:val="000000"/>
        </w:rPr>
        <w:t>Rynchout</w:t>
      </w:r>
      <w:proofErr w:type="spellEnd"/>
      <w:r w:rsidRPr="00586330">
        <w:rPr>
          <w:rFonts w:ascii="Calibri" w:eastAsia="Times New Roman" w:hAnsi="Calibri" w:cs="Calibri"/>
          <w:color w:val="000000"/>
        </w:rPr>
        <w:t xml:space="preserve">, a son in law of </w:t>
      </w:r>
      <w:proofErr w:type="spellStart"/>
      <w:r w:rsidRPr="00586330">
        <w:rPr>
          <w:rFonts w:ascii="Calibri" w:eastAsia="Times New Roman" w:hAnsi="Calibri" w:cs="Calibri"/>
          <w:color w:val="000000"/>
        </w:rPr>
        <w:t>Teunis</w:t>
      </w:r>
      <w:proofErr w:type="spellEnd"/>
      <w:r w:rsidRPr="00586330">
        <w:rPr>
          <w:rFonts w:ascii="Calibri" w:eastAsia="Times New Roman" w:hAnsi="Calibri" w:cs="Calibri"/>
          <w:color w:val="000000"/>
        </w:rPr>
        <w:t xml:space="preserve"> </w:t>
      </w:r>
      <w:proofErr w:type="gramStart"/>
      <w:r w:rsidRPr="00586330">
        <w:rPr>
          <w:rFonts w:ascii="Calibri" w:eastAsia="Times New Roman" w:hAnsi="Calibri" w:cs="Calibri"/>
          <w:color w:val="000000"/>
        </w:rPr>
        <w:t>Ides,  for</w:t>
      </w:r>
      <w:proofErr w:type="gramEnd"/>
      <w:r w:rsidRPr="00586330">
        <w:rPr>
          <w:rFonts w:ascii="Calibri" w:eastAsia="Times New Roman" w:hAnsi="Calibri" w:cs="Calibri"/>
          <w:color w:val="000000"/>
        </w:rPr>
        <w:t xml:space="preserve"> a term of six years</w:t>
      </w:r>
      <w:r w:rsidR="00992715">
        <w:rPr>
          <w:rFonts w:ascii="Calibri" w:eastAsia="Times New Roman" w:hAnsi="Calibri" w:cs="Calibri"/>
          <w:color w:val="000000"/>
        </w:rPr>
        <w:t>.</w:t>
      </w:r>
      <w:r w:rsidR="00992715">
        <w:rPr>
          <w:rStyle w:val="FootnoteReference"/>
          <w:rFonts w:ascii="Calibri" w:eastAsia="Times New Roman" w:hAnsi="Calibri" w:cs="Calibri"/>
          <w:color w:val="000000"/>
        </w:rPr>
        <w:footnoteReference w:id="69"/>
      </w:r>
      <w:r w:rsidRPr="00586330">
        <w:rPr>
          <w:rFonts w:ascii="Calibri" w:eastAsia="Times New Roman" w:hAnsi="Calibri" w:cs="Calibri"/>
          <w:color w:val="000000"/>
        </w:rPr>
        <w:t xml:space="preserve"> According to Riker, this </w:t>
      </w:r>
      <w:proofErr w:type="spellStart"/>
      <w:r w:rsidRPr="00586330">
        <w:rPr>
          <w:rFonts w:ascii="Calibri" w:eastAsia="Times New Roman" w:hAnsi="Calibri" w:cs="Calibri"/>
          <w:color w:val="000000"/>
        </w:rPr>
        <w:t>Dyckman</w:t>
      </w:r>
      <w:proofErr w:type="spellEnd"/>
      <w:r w:rsidRPr="00586330">
        <w:rPr>
          <w:rFonts w:ascii="Calibri" w:eastAsia="Times New Roman" w:hAnsi="Calibri" w:cs="Calibri"/>
          <w:color w:val="000000"/>
        </w:rPr>
        <w:t xml:space="preserve"> was not related to the </w:t>
      </w:r>
      <w:proofErr w:type="spellStart"/>
      <w:r w:rsidRPr="00586330">
        <w:rPr>
          <w:rFonts w:ascii="Calibri" w:eastAsia="Times New Roman" w:hAnsi="Calibri" w:cs="Calibri"/>
          <w:color w:val="000000"/>
        </w:rPr>
        <w:t>Dyckman’s</w:t>
      </w:r>
      <w:proofErr w:type="spellEnd"/>
      <w:r w:rsidRPr="00586330">
        <w:rPr>
          <w:rFonts w:ascii="Calibri" w:eastAsia="Times New Roman" w:hAnsi="Calibri" w:cs="Calibri"/>
          <w:color w:val="000000"/>
        </w:rPr>
        <w:t xml:space="preserve"> of Kingsbridge, an area included in the Town of Harlem.  Persons in household: 2.</w:t>
      </w:r>
    </w:p>
    <w:p w14:paraId="40B23450" w14:textId="77777777" w:rsidR="00586330" w:rsidRPr="00586330" w:rsidRDefault="00586330" w:rsidP="00586330">
      <w:pPr>
        <w:ind w:left="720"/>
      </w:pPr>
      <w:r w:rsidRPr="00586330">
        <w:t xml:space="preserve">Jacob Cornelius = </w:t>
      </w:r>
      <w:r w:rsidRPr="00586330">
        <w:rPr>
          <w:b/>
          <w:bCs/>
        </w:rPr>
        <w:t xml:space="preserve">Jacob </w:t>
      </w:r>
      <w:proofErr w:type="spellStart"/>
      <w:r w:rsidRPr="00586330">
        <w:rPr>
          <w:b/>
          <w:bCs/>
        </w:rPr>
        <w:t>Cornellisen</w:t>
      </w:r>
      <w:proofErr w:type="spellEnd"/>
      <w:r w:rsidRPr="00586330">
        <w:rPr>
          <w:b/>
          <w:bCs/>
        </w:rPr>
        <w:t xml:space="preserve"> </w:t>
      </w:r>
      <w:proofErr w:type="spellStart"/>
      <w:r w:rsidRPr="00586330">
        <w:rPr>
          <w:b/>
          <w:bCs/>
        </w:rPr>
        <w:t>Stille</w:t>
      </w:r>
      <w:proofErr w:type="spellEnd"/>
      <w:r w:rsidRPr="00586330">
        <w:t xml:space="preserve">.  (1643-1711) Jacob was overseer of highways for the Bowery Division in 1703.  He was the father-in-law of </w:t>
      </w:r>
      <w:proofErr w:type="spellStart"/>
      <w:r w:rsidRPr="00586330">
        <w:t>Wolfert</w:t>
      </w:r>
      <w:proofErr w:type="spellEnd"/>
      <w:r w:rsidRPr="00586330">
        <w:t xml:space="preserve"> Webbers. Persons in household: 6</w:t>
      </w:r>
    </w:p>
    <w:p w14:paraId="0F8DC29F" w14:textId="5DD52900" w:rsidR="00586330" w:rsidRPr="00586330" w:rsidRDefault="00586330" w:rsidP="00586330">
      <w:pPr>
        <w:spacing w:after="0" w:line="240" w:lineRule="auto"/>
        <w:ind w:left="720"/>
        <w:rPr>
          <w:rFonts w:ascii="Calibri" w:eastAsia="Times New Roman" w:hAnsi="Calibri" w:cs="Calibri"/>
          <w:color w:val="000000"/>
        </w:rPr>
      </w:pPr>
      <w:r w:rsidRPr="00586330">
        <w:rPr>
          <w:rFonts w:ascii="Calibri" w:eastAsia="Times New Roman" w:hAnsi="Calibri" w:cs="Calibri"/>
          <w:color w:val="000000"/>
        </w:rPr>
        <w:t xml:space="preserve">Tuns Cornelius </w:t>
      </w:r>
      <w:proofErr w:type="gramStart"/>
      <w:r w:rsidRPr="00586330">
        <w:rPr>
          <w:rFonts w:ascii="Calibri" w:eastAsia="Times New Roman" w:hAnsi="Calibri" w:cs="Calibri"/>
          <w:color w:val="000000"/>
        </w:rPr>
        <w:t xml:space="preserve">=  </w:t>
      </w:r>
      <w:proofErr w:type="spellStart"/>
      <w:r w:rsidRPr="00586330">
        <w:rPr>
          <w:rFonts w:ascii="Calibri" w:eastAsia="Times New Roman" w:hAnsi="Calibri" w:cs="Calibri"/>
          <w:b/>
          <w:bCs/>
          <w:color w:val="000000"/>
        </w:rPr>
        <w:t>Teunis</w:t>
      </w:r>
      <w:proofErr w:type="spellEnd"/>
      <w:proofErr w:type="gramEnd"/>
      <w:r w:rsidRPr="00586330">
        <w:rPr>
          <w:rFonts w:ascii="Calibri" w:eastAsia="Times New Roman" w:hAnsi="Calibri" w:cs="Calibri"/>
          <w:b/>
          <w:bCs/>
          <w:color w:val="000000"/>
        </w:rPr>
        <w:t xml:space="preserve"> </w:t>
      </w:r>
      <w:proofErr w:type="spellStart"/>
      <w:r w:rsidRPr="00586330">
        <w:rPr>
          <w:rFonts w:ascii="Calibri" w:eastAsia="Times New Roman" w:hAnsi="Calibri" w:cs="Calibri"/>
          <w:b/>
          <w:bCs/>
          <w:color w:val="000000"/>
        </w:rPr>
        <w:t>Corne</w:t>
      </w:r>
      <w:r w:rsidR="007A5DD0">
        <w:rPr>
          <w:rFonts w:ascii="Calibri" w:eastAsia="Times New Roman" w:hAnsi="Calibri" w:cs="Calibri"/>
          <w:b/>
          <w:bCs/>
          <w:color w:val="000000"/>
        </w:rPr>
        <w:t>l</w:t>
      </w:r>
      <w:r w:rsidRPr="00586330">
        <w:rPr>
          <w:rFonts w:ascii="Calibri" w:eastAsia="Times New Roman" w:hAnsi="Calibri" w:cs="Calibri"/>
          <w:b/>
          <w:bCs/>
          <w:color w:val="000000"/>
        </w:rPr>
        <w:t>lisen</w:t>
      </w:r>
      <w:proofErr w:type="spellEnd"/>
      <w:r w:rsidRPr="00586330">
        <w:rPr>
          <w:rFonts w:ascii="Calibri" w:eastAsia="Times New Roman" w:hAnsi="Calibri" w:cs="Calibri"/>
          <w:b/>
          <w:bCs/>
          <w:color w:val="000000"/>
        </w:rPr>
        <w:t xml:space="preserve"> </w:t>
      </w:r>
      <w:proofErr w:type="spellStart"/>
      <w:r w:rsidRPr="00586330">
        <w:rPr>
          <w:rFonts w:ascii="Calibri" w:eastAsia="Times New Roman" w:hAnsi="Calibri" w:cs="Calibri"/>
          <w:b/>
          <w:bCs/>
          <w:color w:val="000000"/>
        </w:rPr>
        <w:t>Stille</w:t>
      </w:r>
      <w:proofErr w:type="spellEnd"/>
      <w:r w:rsidRPr="00586330">
        <w:rPr>
          <w:rFonts w:ascii="Calibri" w:eastAsia="Times New Roman" w:hAnsi="Calibri" w:cs="Calibri"/>
          <w:color w:val="000000"/>
        </w:rPr>
        <w:t xml:space="preserve"> (1656-1724), the brother of Jacob.  </w:t>
      </w:r>
      <w:proofErr w:type="spellStart"/>
      <w:r w:rsidRPr="00586330">
        <w:rPr>
          <w:rFonts w:ascii="Calibri" w:eastAsia="Times New Roman" w:hAnsi="Calibri" w:cs="Calibri"/>
          <w:color w:val="000000"/>
        </w:rPr>
        <w:t>Teunis</w:t>
      </w:r>
      <w:proofErr w:type="spellEnd"/>
      <w:r w:rsidRPr="00586330">
        <w:rPr>
          <w:rFonts w:ascii="Calibri" w:eastAsia="Times New Roman" w:hAnsi="Calibri" w:cs="Calibri"/>
          <w:color w:val="000000"/>
        </w:rPr>
        <w:t xml:space="preserve"> bought Lots 3 and 4, formerly owned by Thomas Hall, and purchased lot 5 from van </w:t>
      </w:r>
      <w:proofErr w:type="spellStart"/>
      <w:r w:rsidRPr="00586330">
        <w:rPr>
          <w:rFonts w:ascii="Calibri" w:eastAsia="Times New Roman" w:hAnsi="Calibri" w:cs="Calibri"/>
          <w:color w:val="000000"/>
        </w:rPr>
        <w:t>Brugh</w:t>
      </w:r>
      <w:proofErr w:type="spellEnd"/>
      <w:r w:rsidRPr="00586330">
        <w:rPr>
          <w:rFonts w:ascii="Calibri" w:eastAsia="Times New Roman" w:hAnsi="Calibri" w:cs="Calibri"/>
          <w:color w:val="000000"/>
        </w:rPr>
        <w:t xml:space="preserve"> in 1696. </w:t>
      </w:r>
      <w:proofErr w:type="spellStart"/>
      <w:r w:rsidRPr="00586330">
        <w:rPr>
          <w:rFonts w:ascii="Calibri" w:eastAsia="Times New Roman" w:hAnsi="Calibri" w:cs="Calibri"/>
          <w:color w:val="000000"/>
        </w:rPr>
        <w:t>Teunis</w:t>
      </w:r>
      <w:proofErr w:type="spellEnd"/>
      <w:r w:rsidRPr="00586330">
        <w:rPr>
          <w:rFonts w:ascii="Calibri" w:eastAsia="Times New Roman" w:hAnsi="Calibri" w:cs="Calibri"/>
          <w:color w:val="000000"/>
        </w:rPr>
        <w:t xml:space="preserve"> </w:t>
      </w:r>
      <w:proofErr w:type="spellStart"/>
      <w:r w:rsidRPr="00586330">
        <w:rPr>
          <w:rFonts w:ascii="Calibri" w:eastAsia="Times New Roman" w:hAnsi="Calibri" w:cs="Calibri"/>
          <w:color w:val="000000"/>
        </w:rPr>
        <w:t>Cornelisen</w:t>
      </w:r>
      <w:proofErr w:type="spellEnd"/>
      <w:r w:rsidRPr="00586330">
        <w:rPr>
          <w:rFonts w:ascii="Calibri" w:eastAsia="Times New Roman" w:hAnsi="Calibri" w:cs="Calibri"/>
          <w:color w:val="000000"/>
        </w:rPr>
        <w:t xml:space="preserve"> </w:t>
      </w:r>
      <w:proofErr w:type="spellStart"/>
      <w:r w:rsidRPr="00586330">
        <w:rPr>
          <w:rFonts w:ascii="Calibri" w:eastAsia="Times New Roman" w:hAnsi="Calibri" w:cs="Calibri"/>
          <w:color w:val="000000"/>
        </w:rPr>
        <w:t>Stille</w:t>
      </w:r>
      <w:proofErr w:type="spellEnd"/>
      <w:r w:rsidRPr="00586330">
        <w:rPr>
          <w:rFonts w:ascii="Calibri" w:eastAsia="Times New Roman" w:hAnsi="Calibri" w:cs="Calibri"/>
          <w:color w:val="000000"/>
        </w:rPr>
        <w:t xml:space="preserve"> was Constable of the Bowery Division in 1708.  Persons in household: 10</w:t>
      </w:r>
    </w:p>
    <w:p w14:paraId="4C701445" w14:textId="77777777" w:rsidR="00586330" w:rsidRPr="00586330" w:rsidRDefault="00586330" w:rsidP="00586330">
      <w:pPr>
        <w:spacing w:after="0" w:line="240" w:lineRule="auto"/>
        <w:ind w:left="720"/>
        <w:rPr>
          <w:rFonts w:ascii="Calibri" w:eastAsia="Times New Roman" w:hAnsi="Calibri" w:cs="Calibri"/>
          <w:color w:val="000000"/>
        </w:rPr>
      </w:pPr>
    </w:p>
    <w:p w14:paraId="02C671FD" w14:textId="77777777" w:rsidR="00586330" w:rsidRPr="00586330" w:rsidRDefault="00586330" w:rsidP="00586330">
      <w:pPr>
        <w:ind w:left="720"/>
      </w:pPr>
      <w:r w:rsidRPr="00586330">
        <w:t xml:space="preserve">_____ </w:t>
      </w:r>
      <w:proofErr w:type="spellStart"/>
      <w:r w:rsidRPr="00586330">
        <w:t>Tunsedes</w:t>
      </w:r>
      <w:proofErr w:type="spellEnd"/>
      <w:r w:rsidRPr="00586330">
        <w:t xml:space="preserve"> = </w:t>
      </w:r>
      <w:proofErr w:type="spellStart"/>
      <w:r w:rsidRPr="00586330">
        <w:rPr>
          <w:b/>
          <w:bCs/>
        </w:rPr>
        <w:t>Teunis</w:t>
      </w:r>
      <w:proofErr w:type="spellEnd"/>
      <w:r w:rsidRPr="00586330">
        <w:rPr>
          <w:b/>
          <w:bCs/>
        </w:rPr>
        <w:t xml:space="preserve"> Ides van </w:t>
      </w:r>
      <w:proofErr w:type="spellStart"/>
      <w:r w:rsidRPr="00586330">
        <w:rPr>
          <w:b/>
          <w:bCs/>
        </w:rPr>
        <w:t>Huyse</w:t>
      </w:r>
      <w:proofErr w:type="spellEnd"/>
      <w:r w:rsidRPr="00586330">
        <w:t xml:space="preserve"> (1640-c. 1723).  This is the </w:t>
      </w:r>
      <w:proofErr w:type="spellStart"/>
      <w:r w:rsidRPr="00586330">
        <w:t>Teunis</w:t>
      </w:r>
      <w:proofErr w:type="spellEnd"/>
      <w:r w:rsidRPr="00586330">
        <w:t xml:space="preserve"> Ides who in 1688 or ’89 bought the former </w:t>
      </w:r>
      <w:proofErr w:type="spellStart"/>
      <w:r w:rsidRPr="00586330">
        <w:t>Bedlow</w:t>
      </w:r>
      <w:proofErr w:type="spellEnd"/>
      <w:r w:rsidRPr="00586330">
        <w:t xml:space="preserve"> grant, the largest single holding in Bloomingdale at that time.  Persons in household: 15.</w:t>
      </w:r>
    </w:p>
    <w:p w14:paraId="120F9F00" w14:textId="77777777" w:rsidR="00586330" w:rsidRPr="00586330" w:rsidRDefault="00586330" w:rsidP="00586330">
      <w:pPr>
        <w:ind w:left="720"/>
      </w:pPr>
      <w:proofErr w:type="spellStart"/>
      <w:r w:rsidRPr="00586330">
        <w:t>Rebeccah</w:t>
      </w:r>
      <w:proofErr w:type="spellEnd"/>
      <w:r w:rsidRPr="00586330">
        <w:t xml:space="preserve"> Van </w:t>
      </w:r>
      <w:proofErr w:type="spellStart"/>
      <w:r w:rsidRPr="00586330">
        <w:t>Scyock</w:t>
      </w:r>
      <w:proofErr w:type="spellEnd"/>
      <w:r w:rsidRPr="00586330">
        <w:t xml:space="preserve"> = </w:t>
      </w:r>
      <w:r w:rsidRPr="00586330">
        <w:rPr>
          <w:b/>
          <w:bCs/>
        </w:rPr>
        <w:t xml:space="preserve">Rebecca Van </w:t>
      </w:r>
      <w:proofErr w:type="spellStart"/>
      <w:r w:rsidRPr="00586330">
        <w:rPr>
          <w:b/>
          <w:bCs/>
        </w:rPr>
        <w:t>Schaick</w:t>
      </w:r>
      <w:proofErr w:type="spellEnd"/>
      <w:r w:rsidRPr="00586330">
        <w:t xml:space="preserve">, widow of Adrian van </w:t>
      </w:r>
      <w:proofErr w:type="spellStart"/>
      <w:r w:rsidRPr="00586330">
        <w:t>Schaick</w:t>
      </w:r>
      <w:proofErr w:type="spellEnd"/>
      <w:r w:rsidRPr="00586330">
        <w:t xml:space="preserve">, keeper of a well-known tavern near today’s Astor Place, who died in 1700.   She bought Lot 6 from the van </w:t>
      </w:r>
      <w:proofErr w:type="spellStart"/>
      <w:r w:rsidRPr="00586330">
        <w:t>Brugh</w:t>
      </w:r>
      <w:proofErr w:type="spellEnd"/>
      <w:r w:rsidRPr="00586330">
        <w:t xml:space="preserve"> heirs prior to 1701 and already owned Lot 7 through her husband, who had bought it in 1797.  In 1701, she sold lots 6 and 7 to Cornelius Dykeman, but may still have been living on the property in 1703.  Persons in household: 5</w:t>
      </w:r>
    </w:p>
    <w:p w14:paraId="7C537D4B" w14:textId="3756F7FA" w:rsidR="00586330" w:rsidRPr="00586330" w:rsidRDefault="00586330" w:rsidP="00586330">
      <w:pPr>
        <w:spacing w:after="0" w:line="240" w:lineRule="auto"/>
        <w:ind w:left="720"/>
        <w:rPr>
          <w:rFonts w:ascii="Calibri" w:eastAsia="Times New Roman" w:hAnsi="Calibri" w:cs="Calibri"/>
          <w:color w:val="000000"/>
        </w:rPr>
      </w:pPr>
      <w:proofErr w:type="spellStart"/>
      <w:r w:rsidRPr="00586330">
        <w:rPr>
          <w:rFonts w:ascii="Calibri" w:eastAsia="Times New Roman" w:hAnsi="Calibri" w:cs="Calibri"/>
          <w:color w:val="000000"/>
        </w:rPr>
        <w:t>Oronout</w:t>
      </w:r>
      <w:proofErr w:type="spellEnd"/>
      <w:r w:rsidRPr="00586330">
        <w:rPr>
          <w:rFonts w:ascii="Calibri" w:eastAsia="Times New Roman" w:hAnsi="Calibri" w:cs="Calibri"/>
          <w:color w:val="000000"/>
        </w:rPr>
        <w:t xml:space="preserve"> </w:t>
      </w:r>
      <w:proofErr w:type="spellStart"/>
      <w:r w:rsidRPr="00586330">
        <w:rPr>
          <w:rFonts w:ascii="Calibri" w:eastAsia="Times New Roman" w:hAnsi="Calibri" w:cs="Calibri"/>
          <w:color w:val="000000"/>
        </w:rPr>
        <w:t>Waber</w:t>
      </w:r>
      <w:proofErr w:type="spellEnd"/>
      <w:r w:rsidRPr="00586330">
        <w:rPr>
          <w:rFonts w:ascii="Calibri" w:eastAsia="Times New Roman" w:hAnsi="Calibri" w:cs="Calibri"/>
          <w:color w:val="000000"/>
        </w:rPr>
        <w:t xml:space="preserve"> =   </w:t>
      </w:r>
      <w:proofErr w:type="spellStart"/>
      <w:r w:rsidRPr="00586330">
        <w:rPr>
          <w:rFonts w:ascii="Calibri" w:eastAsia="Times New Roman" w:hAnsi="Calibri" w:cs="Calibri"/>
          <w:b/>
          <w:bCs/>
          <w:color w:val="000000"/>
        </w:rPr>
        <w:t>Aernout</w:t>
      </w:r>
      <w:proofErr w:type="spellEnd"/>
      <w:r w:rsidRPr="00586330">
        <w:rPr>
          <w:rFonts w:ascii="Calibri" w:eastAsia="Times New Roman" w:hAnsi="Calibri" w:cs="Calibri"/>
          <w:b/>
          <w:bCs/>
          <w:color w:val="000000"/>
        </w:rPr>
        <w:t xml:space="preserve"> or Arnaut Webbers</w:t>
      </w:r>
      <w:r w:rsidRPr="00586330">
        <w:rPr>
          <w:rFonts w:ascii="Calibri" w:eastAsia="Times New Roman" w:hAnsi="Calibri" w:cs="Calibri"/>
          <w:color w:val="000000"/>
        </w:rPr>
        <w:t xml:space="preserve">, owned land just north of </w:t>
      </w:r>
      <w:proofErr w:type="spellStart"/>
      <w:r w:rsidRPr="00586330">
        <w:rPr>
          <w:rFonts w:ascii="Calibri" w:eastAsia="Times New Roman" w:hAnsi="Calibri" w:cs="Calibri"/>
          <w:color w:val="000000"/>
        </w:rPr>
        <w:t>Wolfert</w:t>
      </w:r>
      <w:proofErr w:type="spellEnd"/>
      <w:r w:rsidRPr="00586330">
        <w:rPr>
          <w:rFonts w:ascii="Calibri" w:eastAsia="Times New Roman" w:hAnsi="Calibri" w:cs="Calibri"/>
          <w:color w:val="000000"/>
        </w:rPr>
        <w:t xml:space="preserve"> Webber.  According to the website Gene, </w:t>
      </w:r>
      <w:proofErr w:type="spellStart"/>
      <w:r w:rsidRPr="00586330">
        <w:rPr>
          <w:rFonts w:ascii="Calibri" w:eastAsia="Times New Roman" w:hAnsi="Calibri" w:cs="Calibri"/>
          <w:color w:val="000000"/>
        </w:rPr>
        <w:t>Aernout</w:t>
      </w:r>
      <w:proofErr w:type="spellEnd"/>
      <w:r w:rsidRPr="00586330">
        <w:rPr>
          <w:rFonts w:ascii="Calibri" w:eastAsia="Times New Roman" w:hAnsi="Calibri" w:cs="Calibri"/>
          <w:color w:val="000000"/>
        </w:rPr>
        <w:t xml:space="preserve"> was a brother of </w:t>
      </w:r>
      <w:proofErr w:type="spellStart"/>
      <w:proofErr w:type="gramStart"/>
      <w:r w:rsidRPr="00586330">
        <w:rPr>
          <w:rFonts w:ascii="Calibri" w:eastAsia="Times New Roman" w:hAnsi="Calibri" w:cs="Calibri"/>
          <w:color w:val="000000"/>
        </w:rPr>
        <w:t>Wolfert</w:t>
      </w:r>
      <w:proofErr w:type="spellEnd"/>
      <w:proofErr w:type="gramEnd"/>
      <w:r w:rsidRPr="00586330">
        <w:rPr>
          <w:rFonts w:ascii="Calibri" w:eastAsia="Times New Roman" w:hAnsi="Calibri" w:cs="Calibri"/>
          <w:color w:val="000000"/>
        </w:rPr>
        <w:t xml:space="preserve"> </w:t>
      </w:r>
      <w:r w:rsidR="007A5DD0">
        <w:rPr>
          <w:rFonts w:ascii="Calibri" w:eastAsia="Times New Roman" w:hAnsi="Calibri" w:cs="Calibri"/>
          <w:color w:val="000000"/>
        </w:rPr>
        <w:t>but the site</w:t>
      </w:r>
      <w:r w:rsidRPr="00586330">
        <w:rPr>
          <w:rFonts w:ascii="Calibri" w:eastAsia="Times New Roman" w:hAnsi="Calibri" w:cs="Calibri"/>
          <w:color w:val="000000"/>
        </w:rPr>
        <w:t xml:space="preserve"> also says he died in 1694 or 95.  The one found on the census may have been a grandson or nephew.  Persons in household: 4.</w:t>
      </w:r>
    </w:p>
    <w:p w14:paraId="29FAA33A" w14:textId="77777777" w:rsidR="00586330" w:rsidRPr="00586330" w:rsidRDefault="00586330" w:rsidP="00586330">
      <w:pPr>
        <w:spacing w:after="0" w:line="240" w:lineRule="auto"/>
        <w:ind w:left="720"/>
        <w:rPr>
          <w:rFonts w:ascii="Calibri" w:eastAsia="Times New Roman" w:hAnsi="Calibri" w:cs="Calibri"/>
          <w:color w:val="000000"/>
        </w:rPr>
      </w:pPr>
    </w:p>
    <w:p w14:paraId="0F54C103" w14:textId="77777777" w:rsidR="00586330" w:rsidRPr="00586330" w:rsidRDefault="00586330" w:rsidP="00586330">
      <w:pPr>
        <w:spacing w:after="0" w:line="240" w:lineRule="auto"/>
        <w:ind w:left="720"/>
        <w:rPr>
          <w:rFonts w:ascii="Calibri" w:eastAsia="Times New Roman" w:hAnsi="Calibri" w:cs="Calibri"/>
          <w:color w:val="000000"/>
        </w:rPr>
      </w:pPr>
      <w:r w:rsidRPr="00586330">
        <w:rPr>
          <w:rFonts w:ascii="Calibri" w:eastAsia="Times New Roman" w:hAnsi="Calibri" w:cs="Calibri"/>
          <w:color w:val="000000"/>
        </w:rPr>
        <w:t xml:space="preserve">Wolford </w:t>
      </w:r>
      <w:proofErr w:type="spellStart"/>
      <w:r w:rsidRPr="00586330">
        <w:rPr>
          <w:rFonts w:ascii="Calibri" w:eastAsia="Times New Roman" w:hAnsi="Calibri" w:cs="Calibri"/>
          <w:color w:val="000000"/>
        </w:rPr>
        <w:t>Waber</w:t>
      </w:r>
      <w:proofErr w:type="spellEnd"/>
      <w:r w:rsidRPr="00586330">
        <w:rPr>
          <w:rFonts w:ascii="Calibri" w:eastAsia="Times New Roman" w:hAnsi="Calibri" w:cs="Calibri"/>
          <w:color w:val="000000"/>
        </w:rPr>
        <w:t xml:space="preserve"> = </w:t>
      </w:r>
      <w:proofErr w:type="spellStart"/>
      <w:r w:rsidRPr="00586330">
        <w:rPr>
          <w:rFonts w:ascii="Calibri" w:eastAsia="Times New Roman" w:hAnsi="Calibri" w:cs="Calibri"/>
          <w:b/>
          <w:bCs/>
          <w:color w:val="000000"/>
        </w:rPr>
        <w:t>Wolfert</w:t>
      </w:r>
      <w:proofErr w:type="spellEnd"/>
      <w:r w:rsidRPr="00586330">
        <w:rPr>
          <w:rFonts w:ascii="Calibri" w:eastAsia="Times New Roman" w:hAnsi="Calibri" w:cs="Calibri"/>
          <w:b/>
          <w:bCs/>
          <w:color w:val="000000"/>
        </w:rPr>
        <w:t xml:space="preserve"> Webbers</w:t>
      </w:r>
      <w:r w:rsidRPr="00586330">
        <w:rPr>
          <w:rFonts w:ascii="Calibri" w:eastAsia="Times New Roman" w:hAnsi="Calibri" w:cs="Calibri"/>
          <w:color w:val="000000"/>
        </w:rPr>
        <w:t>.  He</w:t>
      </w:r>
      <w:r w:rsidRPr="00586330">
        <w:rPr>
          <w:rFonts w:ascii="Calibri" w:eastAsia="Times New Roman" w:hAnsi="Calibri" w:cs="Calibri"/>
          <w:b/>
          <w:bCs/>
          <w:color w:val="000000"/>
        </w:rPr>
        <w:t xml:space="preserve"> </w:t>
      </w:r>
      <w:r w:rsidRPr="00586330">
        <w:rPr>
          <w:rFonts w:ascii="Calibri" w:eastAsia="Times New Roman" w:hAnsi="Calibri" w:cs="Calibri"/>
          <w:color w:val="000000"/>
        </w:rPr>
        <w:t xml:space="preserve">married a daughter of Jacob </w:t>
      </w:r>
      <w:proofErr w:type="spellStart"/>
      <w:r w:rsidRPr="00586330">
        <w:rPr>
          <w:rFonts w:ascii="Calibri" w:eastAsia="Times New Roman" w:hAnsi="Calibri" w:cs="Calibri"/>
          <w:color w:val="000000"/>
        </w:rPr>
        <w:t>Cornellisen</w:t>
      </w:r>
      <w:proofErr w:type="spellEnd"/>
      <w:r w:rsidRPr="00586330">
        <w:rPr>
          <w:rFonts w:ascii="Calibri" w:eastAsia="Times New Roman" w:hAnsi="Calibri" w:cs="Calibri"/>
          <w:color w:val="000000"/>
        </w:rPr>
        <w:t xml:space="preserve"> </w:t>
      </w:r>
      <w:proofErr w:type="spellStart"/>
      <w:r w:rsidRPr="00586330">
        <w:rPr>
          <w:rFonts w:ascii="Calibri" w:eastAsia="Times New Roman" w:hAnsi="Calibri" w:cs="Calibri"/>
          <w:color w:val="000000"/>
        </w:rPr>
        <w:t>Stille</w:t>
      </w:r>
      <w:proofErr w:type="spellEnd"/>
      <w:r w:rsidRPr="00586330">
        <w:rPr>
          <w:rFonts w:ascii="Calibri" w:eastAsia="Times New Roman" w:hAnsi="Calibri" w:cs="Calibri"/>
          <w:color w:val="000000"/>
        </w:rPr>
        <w:t xml:space="preserve"> in 1697 and purchased a farm from his </w:t>
      </w:r>
      <w:proofErr w:type="gramStart"/>
      <w:r w:rsidRPr="00586330">
        <w:rPr>
          <w:rFonts w:ascii="Calibri" w:eastAsia="Times New Roman" w:hAnsi="Calibri" w:cs="Calibri"/>
          <w:color w:val="000000"/>
        </w:rPr>
        <w:t>father in law</w:t>
      </w:r>
      <w:proofErr w:type="gramEnd"/>
      <w:r w:rsidRPr="00586330">
        <w:rPr>
          <w:rFonts w:ascii="Calibri" w:eastAsia="Times New Roman" w:hAnsi="Calibri" w:cs="Calibri"/>
          <w:color w:val="000000"/>
        </w:rPr>
        <w:t xml:space="preserve">.  He was </w:t>
      </w:r>
      <w:proofErr w:type="spellStart"/>
      <w:r w:rsidRPr="00586330">
        <w:rPr>
          <w:rFonts w:ascii="Calibri" w:eastAsia="Times New Roman" w:hAnsi="Calibri" w:cs="Calibri"/>
          <w:color w:val="000000"/>
        </w:rPr>
        <w:t>probaby</w:t>
      </w:r>
      <w:proofErr w:type="spellEnd"/>
      <w:r w:rsidRPr="00586330">
        <w:rPr>
          <w:rFonts w:ascii="Calibri" w:eastAsia="Times New Roman" w:hAnsi="Calibri" w:cs="Calibri"/>
          <w:color w:val="000000"/>
        </w:rPr>
        <w:t xml:space="preserve"> a son of the </w:t>
      </w:r>
      <w:proofErr w:type="spellStart"/>
      <w:r w:rsidRPr="00586330">
        <w:rPr>
          <w:rFonts w:ascii="Calibri" w:eastAsia="Times New Roman" w:hAnsi="Calibri" w:cs="Calibri"/>
          <w:color w:val="000000"/>
        </w:rPr>
        <w:t>Wolphert</w:t>
      </w:r>
      <w:proofErr w:type="spellEnd"/>
      <w:r w:rsidRPr="00586330">
        <w:rPr>
          <w:rFonts w:ascii="Calibri" w:eastAsia="Times New Roman" w:hAnsi="Calibri" w:cs="Calibri"/>
          <w:color w:val="000000"/>
        </w:rPr>
        <w:t xml:space="preserve"> Webber who received a grant of land on the Lower East Side from Stuyvesant in 1650.  Stokes identifies the Bloomingdale property as the </w:t>
      </w:r>
      <w:proofErr w:type="spellStart"/>
      <w:r w:rsidRPr="00586330">
        <w:rPr>
          <w:rFonts w:ascii="Calibri" w:eastAsia="Times New Roman" w:hAnsi="Calibri" w:cs="Calibri"/>
          <w:color w:val="000000"/>
        </w:rPr>
        <w:t>Wolfert</w:t>
      </w:r>
      <w:proofErr w:type="spellEnd"/>
      <w:r w:rsidRPr="00586330">
        <w:rPr>
          <w:rFonts w:ascii="Calibri" w:eastAsia="Times New Roman" w:hAnsi="Calibri" w:cs="Calibri"/>
          <w:color w:val="000000"/>
        </w:rPr>
        <w:t xml:space="preserve"> Webbers Upper Farm.  Persons in household: 4</w:t>
      </w:r>
    </w:p>
    <w:p w14:paraId="417D5ADE" w14:textId="77777777" w:rsidR="00586330" w:rsidRPr="00586330" w:rsidRDefault="00586330" w:rsidP="00586330">
      <w:pPr>
        <w:ind w:left="720"/>
      </w:pPr>
    </w:p>
    <w:p w14:paraId="0113DB22" w14:textId="50993102" w:rsidR="00586330" w:rsidRPr="00586330" w:rsidRDefault="00586330" w:rsidP="00586330">
      <w:r w:rsidRPr="00586330">
        <w:t xml:space="preserve">The households of the people identified above total 46 people, with an average per household of 6.7.  However, it is likely that at least some of the dozen unidentifiable </w:t>
      </w:r>
      <w:proofErr w:type="gramStart"/>
      <w:r w:rsidRPr="00586330">
        <w:t>Out Ward</w:t>
      </w:r>
      <w:proofErr w:type="gramEnd"/>
      <w:r w:rsidRPr="00586330">
        <w:t xml:space="preserve"> households were also located in Bloomingdale.  Since roughly a sixth of the identifiable households were in Bloomingdale, let us assume two additional households with an average of 6.7 people per household.  Thus, </w:t>
      </w:r>
      <w:r w:rsidR="0005188A">
        <w:t>if we rely</w:t>
      </w:r>
      <w:r w:rsidRPr="00586330">
        <w:t xml:space="preserve"> on this census, we can estimate the total population of Bloomingdale in 1703 at approximately 60 people.</w:t>
      </w:r>
    </w:p>
    <w:p w14:paraId="71CA4AB7" w14:textId="13C77B2B" w:rsidR="00586330" w:rsidRPr="00586330" w:rsidRDefault="0005188A" w:rsidP="00586330">
      <w:r>
        <w:lastRenderedPageBreak/>
        <w:t xml:space="preserve">However, </w:t>
      </w:r>
      <w:proofErr w:type="gramStart"/>
      <w:r w:rsidR="00586330" w:rsidRPr="00586330">
        <w:t>It</w:t>
      </w:r>
      <w:proofErr w:type="gramEnd"/>
      <w:r w:rsidR="00586330" w:rsidRPr="00586330">
        <w:t xml:space="preserve"> is important to take into account the historical context of that census and </w:t>
      </w:r>
      <w:r>
        <w:t>its</w:t>
      </w:r>
      <w:r w:rsidR="00586330" w:rsidRPr="00586330">
        <w:t xml:space="preserve"> possible defects. In the preceding year, 1702, an outbreak of yellow fever grew to be the worst epidemic in New York City’s history in terms of the proportion of population killed.  As the provincial governor, Lord </w:t>
      </w:r>
      <w:proofErr w:type="spellStart"/>
      <w:r w:rsidR="00586330" w:rsidRPr="00586330">
        <w:t>Cornbury</w:t>
      </w:r>
      <w:proofErr w:type="spellEnd"/>
      <w:r w:rsidR="00586330" w:rsidRPr="00586330">
        <w:t xml:space="preserve">, wrote on September 27, “In ten </w:t>
      </w:r>
      <w:proofErr w:type="spellStart"/>
      <w:r w:rsidR="00586330" w:rsidRPr="00586330">
        <w:t>week’s time</w:t>
      </w:r>
      <w:proofErr w:type="spellEnd"/>
      <w:r w:rsidR="00586330" w:rsidRPr="00586330">
        <w:t>, sickness has swept away upwards of 500 people of all ages and sexes.”</w:t>
      </w:r>
      <w:r w:rsidR="00586330" w:rsidRPr="00586330">
        <w:rPr>
          <w:rStyle w:val="FootnoteReference"/>
        </w:rPr>
        <w:footnoteReference w:id="70"/>
      </w:r>
      <w:r w:rsidR="00586330" w:rsidRPr="00586330">
        <w:t xml:space="preserve">  The death toll represented fully 10 percent of the city’s population.</w:t>
      </w:r>
      <w:r w:rsidR="00586330" w:rsidRPr="00586330">
        <w:rPr>
          <w:rStyle w:val="FootnoteReference"/>
        </w:rPr>
        <w:footnoteReference w:id="71"/>
      </w:r>
      <w:r w:rsidR="00586330" w:rsidRPr="00586330">
        <w:t xml:space="preserve"> </w:t>
      </w:r>
      <w:r w:rsidR="00B53987">
        <w:rPr>
          <w:rStyle w:val="FootnoteReference"/>
        </w:rPr>
        <w:footnoteReference w:id="72"/>
      </w:r>
      <w:r w:rsidR="00586330" w:rsidRPr="00586330">
        <w:t xml:space="preserve"> </w:t>
      </w:r>
    </w:p>
    <w:p w14:paraId="78A1447E" w14:textId="3EA56D3C" w:rsidR="00586330" w:rsidRPr="00586330" w:rsidRDefault="00586330" w:rsidP="00586330">
      <w:r w:rsidRPr="00586330">
        <w:t>Also in 1702, a new conflict had broken out between England and France, and New Yorkers once again found themselves under threat of invasion from Canada</w:t>
      </w:r>
      <w:r w:rsidR="00701352">
        <w:t>.</w:t>
      </w:r>
      <w:r w:rsidRPr="00586330">
        <w:rPr>
          <w:rStyle w:val="FootnoteReference"/>
        </w:rPr>
        <w:footnoteReference w:id="73"/>
      </w:r>
      <w:r w:rsidRPr="00586330">
        <w:t xml:space="preserve">  Lord </w:t>
      </w:r>
      <w:proofErr w:type="spellStart"/>
      <w:r w:rsidRPr="00586330">
        <w:t>Cornbury</w:t>
      </w:r>
      <w:proofErr w:type="spellEnd"/>
      <w:r w:rsidRPr="00586330">
        <w:t xml:space="preserve">, who had arrived in New York in May of 1702, immediately set about rebuilding New York’s defenses.  A major concern, especially in the wake of the epidemic, was military manpower.  On November 27, </w:t>
      </w:r>
      <w:proofErr w:type="gramStart"/>
      <w:r w:rsidRPr="00586330">
        <w:t>1702</w:t>
      </w:r>
      <w:proofErr w:type="gramEnd"/>
      <w:r w:rsidRPr="00586330">
        <w:t xml:space="preserve"> the legislature passed an act fixing the draft age as between 16 and 60.  On January 29, 1703, Queen Anne signed a lengthy set of instructions to </w:t>
      </w:r>
      <w:proofErr w:type="spellStart"/>
      <w:r w:rsidRPr="00586330">
        <w:t>Cornbury</w:t>
      </w:r>
      <w:proofErr w:type="spellEnd"/>
      <w:r w:rsidRPr="00586330">
        <w:t xml:space="preserve"> including an order to make an annual report of the population including the number “fit to bear Arms in the Militia.</w:t>
      </w:r>
      <w:r w:rsidR="00701352">
        <w:t>”</w:t>
      </w:r>
      <w:r w:rsidRPr="00586330">
        <w:rPr>
          <w:rStyle w:val="FootnoteReference"/>
        </w:rPr>
        <w:footnoteReference w:id="74"/>
      </w:r>
      <w:r w:rsidRPr="00586330">
        <w:rPr>
          <w:rStyle w:val="EndnoteReference"/>
        </w:rPr>
        <w:endnoteReference w:id="1"/>
      </w:r>
      <w:r w:rsidRPr="00586330">
        <w:t xml:space="preserve"> </w:t>
      </w:r>
    </w:p>
    <w:p w14:paraId="5DCD7E72" w14:textId="77777777" w:rsidR="00586330" w:rsidRPr="00586330" w:rsidRDefault="00586330" w:rsidP="00586330">
      <w:r w:rsidRPr="00586330">
        <w:t xml:space="preserve">Thus, the immediate purpose of the Census of 1703 was to identify men available for conscription.  This is evident from the first column of the census table, headed “Males from 16 to 60.”  Given its purpose, the census takers were unlikely to have been met with enthusiasm.  The General Assembly acknowledged as much in an address to Governor </w:t>
      </w:r>
      <w:proofErr w:type="spellStart"/>
      <w:r w:rsidRPr="00586330">
        <w:t>Cornbury</w:t>
      </w:r>
      <w:proofErr w:type="spellEnd"/>
      <w:r w:rsidRPr="00586330">
        <w:t xml:space="preserve"> on May 27, 1703: “The late war, drained us of the greater Part of our Youth, who to avoid being detached to serve on the Frontiers forsake their native Soil, to settle in the neighboring Colonies.”</w:t>
      </w:r>
      <w:r w:rsidRPr="00586330">
        <w:rPr>
          <w:rStyle w:val="FootnoteReference"/>
        </w:rPr>
        <w:footnoteReference w:id="75"/>
      </w:r>
    </w:p>
    <w:p w14:paraId="2F78D22D" w14:textId="77777777" w:rsidR="00586330" w:rsidRPr="00586330" w:rsidRDefault="00586330" w:rsidP="00586330">
      <w:r w:rsidRPr="00586330">
        <w:t>Thus, the census results shown in the table may have been depressed by a tendency of young men to make themselves scarce; of residents to fudge the number and ages of male household members; and of householders to be less than forthcoming about the whereabouts of neighbors.</w:t>
      </w:r>
    </w:p>
    <w:p w14:paraId="4923DE5D" w14:textId="198C7C3A" w:rsidR="00586330" w:rsidRPr="00586330" w:rsidRDefault="00586330" w:rsidP="00586330">
      <w:r w:rsidRPr="00586330">
        <w:t xml:space="preserve">While </w:t>
      </w:r>
      <w:r w:rsidR="00701352">
        <w:t>twelve</w:t>
      </w:r>
      <w:r w:rsidRPr="00586330">
        <w:t xml:space="preserve"> of the names on the 1703 census list are unreadable, it is nevertheless curious that the list includes so few names that one would expect to find among a list of inhabitants of the </w:t>
      </w:r>
      <w:proofErr w:type="gramStart"/>
      <w:r w:rsidRPr="00586330">
        <w:t>Out Ward</w:t>
      </w:r>
      <w:proofErr w:type="gramEnd"/>
      <w:r w:rsidRPr="00586330">
        <w:t xml:space="preserve"> in 1703.  Those are the names, or at least surnames, of ward officials who were elected annually from among actual residents.</w:t>
      </w:r>
      <w:r w:rsidRPr="00586330">
        <w:rPr>
          <w:rStyle w:val="FootnoteReference"/>
        </w:rPr>
        <w:footnoteReference w:id="76"/>
      </w:r>
      <w:r w:rsidRPr="00586330">
        <w:t xml:space="preserve">  </w:t>
      </w:r>
    </w:p>
    <w:p w14:paraId="001683B6" w14:textId="62E8BC68" w:rsidR="00586330" w:rsidRPr="00586330" w:rsidRDefault="00586330" w:rsidP="00586330">
      <w:r w:rsidRPr="00586330">
        <w:t xml:space="preserve">Among those one would expect to find, all of which are recorded in the Minutes of the Common Council for their respective years,  are Hendrick </w:t>
      </w:r>
      <w:proofErr w:type="spellStart"/>
      <w:r w:rsidRPr="00586330">
        <w:t>Cordus</w:t>
      </w:r>
      <w:proofErr w:type="spellEnd"/>
      <w:r w:rsidRPr="00586330">
        <w:t xml:space="preserve">, Collector of the Bowery Division in 1703; Abraham </w:t>
      </w:r>
      <w:proofErr w:type="spellStart"/>
      <w:r w:rsidRPr="00586330">
        <w:t>Boeke</w:t>
      </w:r>
      <w:proofErr w:type="spellEnd"/>
      <w:r w:rsidRPr="00586330">
        <w:t xml:space="preserve">, Assessor of the Bowery Division in 1702; Jan Brevoort, who was Assistant Alderman in 1702 and also appointed Pound Keeper for the Bowery Division in that year; Jan </w:t>
      </w:r>
      <w:proofErr w:type="spellStart"/>
      <w:r w:rsidRPr="00586330">
        <w:t>Cornelisse</w:t>
      </w:r>
      <w:proofErr w:type="spellEnd"/>
      <w:r w:rsidRPr="00586330">
        <w:t xml:space="preserve">, Constable for the Bowery Division in 1702; and Jacob </w:t>
      </w:r>
      <w:proofErr w:type="spellStart"/>
      <w:r w:rsidRPr="00586330">
        <w:t>DeKey</w:t>
      </w:r>
      <w:proofErr w:type="spellEnd"/>
      <w:r w:rsidRPr="00586330">
        <w:t xml:space="preserve">, Alderman of the Out Ward in 1702 and 1703.  We do not find </w:t>
      </w:r>
      <w:r w:rsidRPr="00586330">
        <w:lastRenderedPageBreak/>
        <w:t xml:space="preserve">any of the Meyers of Harlem, although Adolf Meyer was its Assessor in 1703 and Johannes Meyer its Constable.  Nor do we find any of the Waldrons of Harlem, although </w:t>
      </w:r>
      <w:proofErr w:type="spellStart"/>
      <w:r w:rsidRPr="00586330">
        <w:t>Barent</w:t>
      </w:r>
      <w:proofErr w:type="spellEnd"/>
      <w:r w:rsidRPr="00586330">
        <w:t xml:space="preserve"> Waldron was Overseer of Highways in 1702 and 1703, as well as Collector in the latter year; and Samuel Waldron was Assessor in 1702. </w:t>
      </w:r>
    </w:p>
    <w:p w14:paraId="7AC77C22" w14:textId="77777777" w:rsidR="00586330" w:rsidRPr="00586330" w:rsidRDefault="00586330" w:rsidP="00586330">
      <w:r w:rsidRPr="00586330">
        <w:t>Could these well-informed public officials have somehow avoided the census takers?  Or did the census takers, for whatever reason, fail to count them?  The answers to these questions may be found in documents yet to be unearthed in the New York State Archives and other collections in the U.S. and Britain.</w:t>
      </w:r>
    </w:p>
    <w:p w14:paraId="51F22C32" w14:textId="77777777" w:rsidR="00586330" w:rsidRPr="00586330" w:rsidRDefault="00586330" w:rsidP="00586330">
      <w:r w:rsidRPr="00586330">
        <w:t>In the meantime, assuming the 1703 population count was affected by census avoidance, how great could the undercount have been?  I believe an undercount of 25 percent is plausible.  If that percentage is applied to Bloomingdale, its estimated population would be increased to 75.   That is still a very sparse population for an area of three and a half square miles on the island of Manhattan.</w:t>
      </w:r>
    </w:p>
    <w:p w14:paraId="52966DC7" w14:textId="77777777" w:rsidR="00586330" w:rsidRPr="00586330" w:rsidRDefault="00586330" w:rsidP="00586330">
      <w:r w:rsidRPr="00586330">
        <w:t xml:space="preserve">The recipients of the 1667 “syndicate grant” had divided its 1300 acres into 12 lots, each large enough for a farm of respectable size.  As of 1703, </w:t>
      </w:r>
      <w:proofErr w:type="spellStart"/>
      <w:r w:rsidRPr="00586330">
        <w:t>Teunis</w:t>
      </w:r>
      <w:proofErr w:type="spellEnd"/>
      <w:r w:rsidRPr="00586330">
        <w:t xml:space="preserve"> Ides’ grant of over 400 acres had not yet been divided among his children and their spouses.  Two additional grants covered what is now Morningside Heights.  Thus, there were a total of 15 parcels.  The small number of households identified in the 1703 census suggests that as many as half of the Bloomingdale parcels were unoccupied and still being held as speculative investments by absentee owners.  </w:t>
      </w:r>
    </w:p>
    <w:p w14:paraId="6FFE4F8B" w14:textId="5EB329C9" w:rsidR="00586330" w:rsidRPr="00586330" w:rsidRDefault="00586330" w:rsidP="00586330">
      <w:r w:rsidRPr="00586330">
        <w:t xml:space="preserve">The unoccupied parcels were not necessarily without economic use.  Bloomingdale, in its natural state, was heavily wooded.  Absentee owners could have profited for years from the harvesting of timber, a seasonal activity that could have been carried on by crews living in tents or other temporary shelters.  Once cleared, all or parts of the land could have been rented to neighboring farmers for cropland or pasturage.  Cleared land could also have been used for orchards, which could also be tended and harvested by seasonal labor not requiring permanent shelter.  </w:t>
      </w:r>
      <w:r w:rsidR="00DF5DF5">
        <w:t>Such</w:t>
      </w:r>
      <w:r w:rsidRPr="00586330">
        <w:t xml:space="preserve"> seasonal labor would </w:t>
      </w:r>
      <w:r w:rsidR="00DF5DF5">
        <w:t xml:space="preserve">not </w:t>
      </w:r>
      <w:r w:rsidRPr="00586330">
        <w:t>have affected the resident population count.</w:t>
      </w:r>
    </w:p>
    <w:p w14:paraId="0A3E890D" w14:textId="77777777" w:rsidR="00586330" w:rsidRPr="00586330" w:rsidRDefault="00586330" w:rsidP="00586330">
      <w:r w:rsidRPr="00586330">
        <w:t xml:space="preserve">Even </w:t>
      </w:r>
      <w:proofErr w:type="gramStart"/>
      <w:r w:rsidRPr="00586330">
        <w:t>taking into account</w:t>
      </w:r>
      <w:proofErr w:type="gramEnd"/>
      <w:r w:rsidRPr="00586330">
        <w:t xml:space="preserve"> the defects of the 1703 Census, it is likely that the entire population of Bloomingdale in 1703 did not exceed 75.</w:t>
      </w:r>
    </w:p>
    <w:p w14:paraId="3B67AED9" w14:textId="13AB87A3" w:rsidR="00586330" w:rsidRDefault="00586330" w:rsidP="001F3AE5"/>
    <w:p w14:paraId="46FDC704" w14:textId="1D32ED66" w:rsidR="00D601B8" w:rsidRDefault="00E55DD0" w:rsidP="001F3AE5">
      <w:r>
        <w:t>THE ADVENT OF THE BLOOMINGDALE ROAD</w:t>
      </w:r>
    </w:p>
    <w:p w14:paraId="3A648E85" w14:textId="318373DD" w:rsidR="00BA2B27" w:rsidRDefault="00153D86" w:rsidP="001F3AE5">
      <w:r>
        <w:t>On June 19</w:t>
      </w:r>
      <w:r w:rsidRPr="00153D86">
        <w:rPr>
          <w:vertAlign w:val="superscript"/>
        </w:rPr>
        <w:t>th</w:t>
      </w:r>
      <w:r>
        <w:t>, 1703, the New York General Assembly enacted a law providing for the “laying out, regulating, clearing</w:t>
      </w:r>
      <w:r w:rsidR="00B70BCA">
        <w:t>,</w:t>
      </w:r>
      <w:r>
        <w:t xml:space="preserve"> and preserving common highway through this Co</w:t>
      </w:r>
      <w:r w:rsidR="00BA2B27">
        <w:t>l</w:t>
      </w:r>
      <w:r>
        <w:t>ony.</w:t>
      </w:r>
      <w:r w:rsidR="00B70BCA">
        <w:t xml:space="preserve">” </w:t>
      </w:r>
      <w:r w:rsidR="00C875CA">
        <w:t xml:space="preserve">Three commissioners were appointed to lay out highways in the County of New York—i.e., Manhattan—and within 18 months to “make return to the clerk of the County a full and perfect report and description of the manner and extent of every road laid out by them.” </w:t>
      </w:r>
    </w:p>
    <w:p w14:paraId="06DBB01D" w14:textId="3EBC60B4" w:rsidR="00D968E6" w:rsidRDefault="00780796" w:rsidP="001F3AE5">
      <w:r>
        <w:t xml:space="preserve">The deadline was twice postponed, but as </w:t>
      </w:r>
      <w:r w:rsidR="00EC2E87">
        <w:t>eventually filed and recorded</w:t>
      </w:r>
      <w:r w:rsidR="00BA2B27">
        <w:t xml:space="preserve">, </w:t>
      </w:r>
      <w:r w:rsidR="00AE42A1">
        <w:t xml:space="preserve">the report described </w:t>
      </w:r>
      <w:r w:rsidR="00EC2E87">
        <w:t xml:space="preserve">four </w:t>
      </w:r>
      <w:r w:rsidR="00AE42A1">
        <w:t>routes</w:t>
      </w:r>
      <w:r w:rsidR="00BA2B27">
        <w:t xml:space="preserve"> in New York County</w:t>
      </w:r>
      <w:r w:rsidR="00EC2E87">
        <w:t>.</w:t>
      </w:r>
      <w:r w:rsidR="004C4253">
        <w:rPr>
          <w:rStyle w:val="FootnoteReference"/>
        </w:rPr>
        <w:footnoteReference w:id="77"/>
      </w:r>
      <w:r w:rsidR="00AC1C15">
        <w:t xml:space="preserve">  </w:t>
      </w:r>
    </w:p>
    <w:p w14:paraId="43C771AF" w14:textId="46533453" w:rsidR="00E55DD0" w:rsidRDefault="00AC1C15" w:rsidP="001F3AE5">
      <w:r>
        <w:lastRenderedPageBreak/>
        <w:t>The first</w:t>
      </w:r>
      <w:r w:rsidR="00A11669">
        <w:t xml:space="preserve">, beginning at about the present Broadway near Fulton St., </w:t>
      </w:r>
      <w:r w:rsidR="00FA3B7A">
        <w:t>went</w:t>
      </w:r>
      <w:r w:rsidR="00AE42A1">
        <w:t xml:space="preserve"> north </w:t>
      </w:r>
      <w:r w:rsidR="00A11669">
        <w:t xml:space="preserve">via the Bowery and the Eastern Post Road, to Harlem; the second </w:t>
      </w:r>
      <w:r w:rsidR="00FA3B7A">
        <w:t xml:space="preserve">went </w:t>
      </w:r>
      <w:r w:rsidR="00A11669">
        <w:t>from Harlem to the Kings Bridge</w:t>
      </w:r>
      <w:r w:rsidR="005F18B2">
        <w:t xml:space="preserve">, mostly following the ancient Indian trail to </w:t>
      </w:r>
      <w:proofErr w:type="spellStart"/>
      <w:r w:rsidR="005F18B2">
        <w:t>Spuyten</w:t>
      </w:r>
      <w:proofErr w:type="spellEnd"/>
      <w:r w:rsidR="005F18B2">
        <w:t xml:space="preserve"> Duyvil</w:t>
      </w:r>
      <w:r w:rsidR="00A11669">
        <w:t xml:space="preserve">; the third </w:t>
      </w:r>
      <w:r w:rsidR="00FA3B7A">
        <w:t xml:space="preserve">was </w:t>
      </w:r>
      <w:r w:rsidR="00A11669">
        <w:t xml:space="preserve">a road from the Bowery </w:t>
      </w:r>
      <w:r w:rsidR="00FA3B7A">
        <w:t xml:space="preserve">westward </w:t>
      </w:r>
      <w:r w:rsidR="00A11669">
        <w:t xml:space="preserve">to </w:t>
      </w:r>
      <w:r w:rsidR="005F18B2">
        <w:t xml:space="preserve">Greenwich, most of which is now Greenwich Avenue; and </w:t>
      </w:r>
      <w:proofErr w:type="gramStart"/>
      <w:r w:rsidR="005F18B2">
        <w:t>finally</w:t>
      </w:r>
      <w:proofErr w:type="gramEnd"/>
      <w:r w:rsidR="005F18B2">
        <w:t xml:space="preserve"> a road to Bloomingdale</w:t>
      </w:r>
      <w:r w:rsidR="00D968E6">
        <w:t>.  That name is not used in the commissioners’ report, which describes the eventual Bloomingdale Road as follows:</w:t>
      </w:r>
    </w:p>
    <w:p w14:paraId="5F6FE97D" w14:textId="798AD37D" w:rsidR="005F18B2" w:rsidRDefault="00D968E6" w:rsidP="001F3AE5">
      <w:r>
        <w:t xml:space="preserve"> </w:t>
      </w:r>
      <w:proofErr w:type="gramStart"/>
      <w:r>
        <w:t>“</w:t>
      </w:r>
      <w:r w:rsidR="005F18B2">
        <w:t xml:space="preserve"> </w:t>
      </w:r>
      <w:r w:rsidR="00242DE3">
        <w:t>F</w:t>
      </w:r>
      <w:r w:rsidR="005F18B2">
        <w:t>rom</w:t>
      </w:r>
      <w:proofErr w:type="gramEnd"/>
      <w:r w:rsidR="005F18B2">
        <w:t xml:space="preserve"> the house at the End of New York Lane, there is likewise to lye a Road turning to the left hand the course being northerly and so by Great Kills </w:t>
      </w:r>
      <w:r>
        <w:t xml:space="preserve">&amp; </w:t>
      </w:r>
      <w:r w:rsidR="005F18B2">
        <w:t xml:space="preserve">forward as the said Road now </w:t>
      </w:r>
      <w:proofErr w:type="spellStart"/>
      <w:r w:rsidR="005F18B2">
        <w:t>lyes</w:t>
      </w:r>
      <w:proofErr w:type="spellEnd"/>
      <w:r w:rsidR="005F18B2">
        <w:t xml:space="preserve"> </w:t>
      </w:r>
      <w:r>
        <w:t xml:space="preserve">unto </w:t>
      </w:r>
      <w:proofErr w:type="spellStart"/>
      <w:r>
        <w:t>Theunis</w:t>
      </w:r>
      <w:proofErr w:type="spellEnd"/>
      <w:r>
        <w:t xml:space="preserve"> </w:t>
      </w:r>
      <w:proofErr w:type="spellStart"/>
      <w:r>
        <w:t>Edis’s</w:t>
      </w:r>
      <w:proofErr w:type="spellEnd"/>
      <w:r>
        <w:t xml:space="preserve"> &amp; Capt. </w:t>
      </w:r>
      <w:proofErr w:type="spellStart"/>
      <w:r>
        <w:t>D’Key’s</w:t>
      </w:r>
      <w:proofErr w:type="spellEnd"/>
      <w:r>
        <w:t xml:space="preserve"> through the said </w:t>
      </w:r>
      <w:proofErr w:type="spellStart"/>
      <w:r>
        <w:t>Edis</w:t>
      </w:r>
      <w:proofErr w:type="spellEnd"/>
      <w:r>
        <w:t xml:space="preserve"> land.”</w:t>
      </w:r>
      <w:r w:rsidR="00B97B64">
        <w:rPr>
          <w:rStyle w:val="FootnoteReference"/>
        </w:rPr>
        <w:footnoteReference w:id="78"/>
      </w:r>
    </w:p>
    <w:p w14:paraId="0C3F09AF" w14:textId="74FA2F69" w:rsidR="001B2D01" w:rsidRDefault="00D968E6" w:rsidP="001B2D01">
      <w:r>
        <w:t>T</w:t>
      </w:r>
      <w:r w:rsidR="00A91688">
        <w:t>he New York Lane was the northerly extension of the Bowery, which is now part of Broadway where it crosses Fifth Avenue at Madison Square.</w:t>
      </w:r>
      <w:r w:rsidR="008D0817">
        <w:rPr>
          <w:rStyle w:val="FootnoteReference"/>
        </w:rPr>
        <w:footnoteReference w:id="79"/>
      </w:r>
      <w:r w:rsidR="00A91688">
        <w:t xml:space="preserve">  </w:t>
      </w:r>
      <w:r w:rsidR="00FF21CE">
        <w:t xml:space="preserve">From that point, the commissioners may have had to map an entirely new route through the network of streams feeding into the Great Kill.  </w:t>
      </w:r>
      <w:r w:rsidR="00460673">
        <w:t xml:space="preserve">But once beyond that, the phrase “forward as the said road now </w:t>
      </w:r>
      <w:proofErr w:type="spellStart"/>
      <w:r w:rsidR="00460673">
        <w:t>lyes</w:t>
      </w:r>
      <w:proofErr w:type="spellEnd"/>
      <w:r w:rsidR="00B1132E">
        <w:t xml:space="preserve"> unto” </w:t>
      </w:r>
      <w:proofErr w:type="spellStart"/>
      <w:r w:rsidR="00B1132E">
        <w:t>Theunis</w:t>
      </w:r>
      <w:proofErr w:type="spellEnd"/>
      <w:r w:rsidR="00B1132E">
        <w:t xml:space="preserve"> </w:t>
      </w:r>
      <w:proofErr w:type="spellStart"/>
      <w:r w:rsidR="00B1132E">
        <w:t>Edis’s</w:t>
      </w:r>
      <w:proofErr w:type="spellEnd"/>
      <w:r w:rsidR="00B1132E">
        <w:t xml:space="preserve"> land</w:t>
      </w:r>
      <w:r w:rsidR="00460673">
        <w:t xml:space="preserve"> suggests that </w:t>
      </w:r>
      <w:r w:rsidR="00AE42A1">
        <w:t>there</w:t>
      </w:r>
      <w:r w:rsidR="00460673">
        <w:t xml:space="preserve"> </w:t>
      </w:r>
      <w:r w:rsidR="00AE42A1">
        <w:t xml:space="preserve">was an </w:t>
      </w:r>
      <w:r w:rsidR="00460673">
        <w:t>existing road</w:t>
      </w:r>
      <w:r w:rsidR="00AE42A1">
        <w:t xml:space="preserve"> of s</w:t>
      </w:r>
      <w:r w:rsidR="00AD5137">
        <w:t>o</w:t>
      </w:r>
      <w:r w:rsidR="00AE42A1">
        <w:t>me kin</w:t>
      </w:r>
      <w:r w:rsidR="00AD5137">
        <w:t>d</w:t>
      </w:r>
      <w:r w:rsidR="00AE42A1">
        <w:t>.</w:t>
      </w:r>
      <w:r w:rsidR="00460673">
        <w:t xml:space="preserve">  This might well have been an old Indian </w:t>
      </w:r>
      <w:proofErr w:type="gramStart"/>
      <w:r w:rsidR="006D6E5A">
        <w:t>trail</w:t>
      </w:r>
      <w:r w:rsidR="00AD5137">
        <w:t>, or</w:t>
      </w:r>
      <w:proofErr w:type="gramEnd"/>
      <w:r w:rsidR="00AD5137">
        <w:t xml:space="preserve"> might have </w:t>
      </w:r>
      <w:r w:rsidR="00606A93">
        <w:t>developed</w:t>
      </w:r>
      <w:r w:rsidR="00B1132E">
        <w:t xml:space="preserve"> </w:t>
      </w:r>
      <w:r w:rsidR="00606A93">
        <w:t xml:space="preserve">out </w:t>
      </w:r>
      <w:r w:rsidR="00B1132E">
        <w:t xml:space="preserve">of paths </w:t>
      </w:r>
      <w:r w:rsidR="00AE42A1">
        <w:t xml:space="preserve">beaten </w:t>
      </w:r>
      <w:r w:rsidR="00B1132E">
        <w:t>by settlers and their livestock in moving between farms</w:t>
      </w:r>
      <w:r w:rsidR="001B2D01">
        <w:t>.</w:t>
      </w:r>
      <w:r w:rsidR="00703623">
        <w:t xml:space="preserve"> </w:t>
      </w:r>
      <w:r w:rsidR="000C4976">
        <w:rPr>
          <w:rStyle w:val="FootnoteReference"/>
        </w:rPr>
        <w:footnoteReference w:id="80"/>
      </w:r>
      <w:r w:rsidR="00703623">
        <w:t xml:space="preserve"> </w:t>
      </w:r>
    </w:p>
    <w:p w14:paraId="509DEFC7" w14:textId="19B52237" w:rsidR="007442AB" w:rsidRDefault="001B2D01" w:rsidP="00703623">
      <w:pPr>
        <w:pStyle w:val="NormalWeb"/>
        <w:rPr>
          <w:rFonts w:asciiTheme="minorHAnsi" w:hAnsiTheme="minorHAnsi" w:cstheme="minorHAnsi"/>
          <w:sz w:val="22"/>
          <w:szCs w:val="22"/>
        </w:rPr>
      </w:pPr>
      <w:r w:rsidRPr="007442AB">
        <w:rPr>
          <w:rFonts w:asciiTheme="minorHAnsi" w:hAnsiTheme="minorHAnsi" w:cstheme="minorHAnsi"/>
          <w:sz w:val="22"/>
          <w:szCs w:val="22"/>
        </w:rPr>
        <w:t>Thus, there were rural roads, however rough,</w:t>
      </w:r>
      <w:r w:rsidR="0006642F">
        <w:rPr>
          <w:rFonts w:asciiTheme="minorHAnsi" w:hAnsiTheme="minorHAnsi" w:cstheme="minorHAnsi"/>
          <w:sz w:val="22"/>
          <w:szCs w:val="22"/>
        </w:rPr>
        <w:t xml:space="preserve"> </w:t>
      </w:r>
      <w:r w:rsidRPr="007442AB">
        <w:rPr>
          <w:rFonts w:asciiTheme="minorHAnsi" w:hAnsiTheme="minorHAnsi" w:cstheme="minorHAnsi"/>
          <w:sz w:val="22"/>
          <w:szCs w:val="22"/>
        </w:rPr>
        <w:t xml:space="preserve">in Bloomingdale well before 1707. </w:t>
      </w:r>
      <w:r w:rsidR="00AD5137">
        <w:rPr>
          <w:rFonts w:asciiTheme="minorHAnsi" w:hAnsiTheme="minorHAnsi" w:cstheme="minorHAnsi"/>
          <w:sz w:val="22"/>
          <w:szCs w:val="22"/>
        </w:rPr>
        <w:t xml:space="preserve"> </w:t>
      </w:r>
      <w:r w:rsidR="00703623" w:rsidRPr="007442AB">
        <w:rPr>
          <w:rFonts w:asciiTheme="minorHAnsi" w:hAnsiTheme="minorHAnsi" w:cstheme="minorHAnsi"/>
          <w:sz w:val="22"/>
          <w:szCs w:val="22"/>
        </w:rPr>
        <w:t xml:space="preserve">An improved road through Bloomingdale was very desirable.  </w:t>
      </w:r>
      <w:r w:rsidR="00836929" w:rsidRPr="007442AB">
        <w:rPr>
          <w:rFonts w:asciiTheme="minorHAnsi" w:hAnsiTheme="minorHAnsi" w:cstheme="minorHAnsi"/>
          <w:sz w:val="22"/>
          <w:szCs w:val="22"/>
        </w:rPr>
        <w:t xml:space="preserve">It would make it easier and faster to move goods, using bigger and better </w:t>
      </w:r>
      <w:r w:rsidR="00F340E8">
        <w:rPr>
          <w:rFonts w:asciiTheme="minorHAnsi" w:hAnsiTheme="minorHAnsi" w:cstheme="minorHAnsi"/>
          <w:sz w:val="22"/>
          <w:szCs w:val="22"/>
        </w:rPr>
        <w:t>carts and wagons</w:t>
      </w:r>
      <w:r w:rsidR="00836929" w:rsidRPr="007442AB">
        <w:rPr>
          <w:rFonts w:asciiTheme="minorHAnsi" w:hAnsiTheme="minorHAnsi" w:cstheme="minorHAnsi"/>
          <w:sz w:val="22"/>
          <w:szCs w:val="22"/>
        </w:rPr>
        <w:t xml:space="preserve">.  </w:t>
      </w:r>
      <w:r w:rsidR="00242DE3">
        <w:rPr>
          <w:rFonts w:asciiTheme="minorHAnsi" w:hAnsiTheme="minorHAnsi" w:cstheme="minorHAnsi"/>
          <w:sz w:val="22"/>
          <w:szCs w:val="22"/>
        </w:rPr>
        <w:t>In time of war, it would enable faster movement of troops and their equipment.</w:t>
      </w:r>
      <w:r w:rsidR="00242DE3" w:rsidRPr="00242DE3">
        <w:t xml:space="preserve"> </w:t>
      </w:r>
      <w:r w:rsidR="00242DE3">
        <w:rPr>
          <w:rStyle w:val="FootnoteReference"/>
        </w:rPr>
        <w:footnoteReference w:id="81"/>
      </w:r>
      <w:r w:rsidR="00242DE3">
        <w:t xml:space="preserve"> </w:t>
      </w:r>
      <w:r w:rsidR="00242DE3">
        <w:rPr>
          <w:rFonts w:asciiTheme="minorHAnsi" w:hAnsiTheme="minorHAnsi" w:cstheme="minorHAnsi"/>
          <w:sz w:val="22"/>
          <w:szCs w:val="22"/>
        </w:rPr>
        <w:t xml:space="preserve">  </w:t>
      </w:r>
      <w:r w:rsidR="00836929" w:rsidRPr="007442AB">
        <w:rPr>
          <w:rFonts w:asciiTheme="minorHAnsi" w:hAnsiTheme="minorHAnsi" w:cstheme="minorHAnsi"/>
          <w:sz w:val="22"/>
          <w:szCs w:val="22"/>
        </w:rPr>
        <w:t xml:space="preserve">Widening and better grading would make </w:t>
      </w:r>
      <w:r w:rsidR="007442AB" w:rsidRPr="007442AB">
        <w:rPr>
          <w:rFonts w:asciiTheme="minorHAnsi" w:hAnsiTheme="minorHAnsi" w:cstheme="minorHAnsi"/>
          <w:sz w:val="22"/>
          <w:szCs w:val="22"/>
        </w:rPr>
        <w:t xml:space="preserve">the road </w:t>
      </w:r>
      <w:r w:rsidR="00836929" w:rsidRPr="007442AB">
        <w:rPr>
          <w:rFonts w:asciiTheme="minorHAnsi" w:hAnsiTheme="minorHAnsi" w:cstheme="minorHAnsi"/>
          <w:sz w:val="22"/>
          <w:szCs w:val="22"/>
        </w:rPr>
        <w:t>safer and more pass</w:t>
      </w:r>
      <w:r w:rsidR="00701352">
        <w:rPr>
          <w:rFonts w:asciiTheme="minorHAnsi" w:hAnsiTheme="minorHAnsi" w:cstheme="minorHAnsi"/>
          <w:sz w:val="22"/>
          <w:szCs w:val="22"/>
        </w:rPr>
        <w:t>able</w:t>
      </w:r>
      <w:r w:rsidR="00836929" w:rsidRPr="007442AB">
        <w:rPr>
          <w:rFonts w:asciiTheme="minorHAnsi" w:hAnsiTheme="minorHAnsi" w:cstheme="minorHAnsi"/>
          <w:sz w:val="22"/>
          <w:szCs w:val="22"/>
        </w:rPr>
        <w:t xml:space="preserve"> for horse drawn carriage</w:t>
      </w:r>
      <w:r w:rsidR="00FF6BB6" w:rsidRPr="007442AB">
        <w:rPr>
          <w:rFonts w:asciiTheme="minorHAnsi" w:hAnsiTheme="minorHAnsi" w:cstheme="minorHAnsi"/>
          <w:sz w:val="22"/>
          <w:szCs w:val="22"/>
        </w:rPr>
        <w:t>s</w:t>
      </w:r>
      <w:r w:rsidR="000C4976">
        <w:rPr>
          <w:rFonts w:asciiTheme="minorHAnsi" w:hAnsiTheme="minorHAnsi" w:cstheme="minorHAnsi"/>
          <w:sz w:val="22"/>
          <w:szCs w:val="22"/>
        </w:rPr>
        <w:t xml:space="preserve">. It also made </w:t>
      </w:r>
      <w:r w:rsidR="00AD5137">
        <w:rPr>
          <w:rFonts w:asciiTheme="minorHAnsi" w:hAnsiTheme="minorHAnsi" w:cstheme="minorHAnsi"/>
          <w:sz w:val="22"/>
          <w:szCs w:val="22"/>
        </w:rPr>
        <w:t xml:space="preserve">the adjacent </w:t>
      </w:r>
      <w:r w:rsidR="00F340E8">
        <w:rPr>
          <w:rFonts w:asciiTheme="minorHAnsi" w:hAnsiTheme="minorHAnsi" w:cstheme="minorHAnsi"/>
          <w:sz w:val="22"/>
          <w:szCs w:val="22"/>
        </w:rPr>
        <w:t xml:space="preserve">real estate </w:t>
      </w:r>
      <w:r w:rsidR="007442AB" w:rsidRPr="007442AB">
        <w:rPr>
          <w:rFonts w:asciiTheme="minorHAnsi" w:hAnsiTheme="minorHAnsi" w:cstheme="minorHAnsi"/>
          <w:sz w:val="22"/>
          <w:szCs w:val="22"/>
        </w:rPr>
        <w:t>more attractive to the class of people who could afford to travel in horse-drawn carriages.</w:t>
      </w:r>
      <w:r w:rsidR="00FF6BB6" w:rsidRPr="007442AB">
        <w:rPr>
          <w:rFonts w:asciiTheme="minorHAnsi" w:hAnsiTheme="minorHAnsi" w:cstheme="minorHAnsi"/>
          <w:sz w:val="22"/>
          <w:szCs w:val="22"/>
        </w:rPr>
        <w:t xml:space="preserve"> </w:t>
      </w:r>
    </w:p>
    <w:p w14:paraId="784BB649" w14:textId="3EC5B0FE" w:rsidR="00E0576A" w:rsidRDefault="00703623" w:rsidP="00703623">
      <w:pPr>
        <w:pStyle w:val="NormalWeb"/>
        <w:rPr>
          <w:rFonts w:asciiTheme="minorHAnsi" w:hAnsiTheme="minorHAnsi" w:cstheme="minorHAnsi"/>
          <w:sz w:val="22"/>
          <w:szCs w:val="22"/>
        </w:rPr>
      </w:pPr>
      <w:r w:rsidRPr="007442AB">
        <w:rPr>
          <w:rFonts w:asciiTheme="minorHAnsi" w:hAnsiTheme="minorHAnsi" w:cstheme="minorHAnsi"/>
          <w:sz w:val="22"/>
          <w:szCs w:val="22"/>
        </w:rPr>
        <w:t>However</w:t>
      </w:r>
      <w:r w:rsidR="00836929" w:rsidRPr="007442AB">
        <w:rPr>
          <w:rFonts w:asciiTheme="minorHAnsi" w:hAnsiTheme="minorHAnsi" w:cstheme="minorHAnsi"/>
          <w:sz w:val="22"/>
          <w:szCs w:val="22"/>
        </w:rPr>
        <w:t xml:space="preserve">, </w:t>
      </w:r>
      <w:r w:rsidR="00FF6BB6" w:rsidRPr="007442AB">
        <w:rPr>
          <w:rFonts w:asciiTheme="minorHAnsi" w:hAnsiTheme="minorHAnsi" w:cstheme="minorHAnsi"/>
          <w:sz w:val="22"/>
          <w:szCs w:val="22"/>
        </w:rPr>
        <w:t>significant road improvement was</w:t>
      </w:r>
      <w:r w:rsidRPr="007442AB">
        <w:rPr>
          <w:rFonts w:asciiTheme="minorHAnsi" w:hAnsiTheme="minorHAnsi" w:cstheme="minorHAnsi"/>
          <w:sz w:val="22"/>
          <w:szCs w:val="22"/>
        </w:rPr>
        <w:t xml:space="preserve"> not feasible without assurance</w:t>
      </w:r>
      <w:r w:rsidR="0006642F">
        <w:rPr>
          <w:rFonts w:asciiTheme="minorHAnsi" w:hAnsiTheme="minorHAnsi" w:cstheme="minorHAnsi"/>
          <w:sz w:val="22"/>
          <w:szCs w:val="22"/>
        </w:rPr>
        <w:t xml:space="preserve"> </w:t>
      </w:r>
      <w:r w:rsidRPr="007442AB">
        <w:rPr>
          <w:rFonts w:asciiTheme="minorHAnsi" w:hAnsiTheme="minorHAnsi" w:cstheme="minorHAnsi"/>
          <w:sz w:val="22"/>
          <w:szCs w:val="22"/>
        </w:rPr>
        <w:t>that everyone along the road would be legally bound to contribute</w:t>
      </w:r>
      <w:r w:rsidR="0006642F">
        <w:rPr>
          <w:rFonts w:asciiTheme="minorHAnsi" w:hAnsiTheme="minorHAnsi" w:cstheme="minorHAnsi"/>
          <w:sz w:val="22"/>
          <w:szCs w:val="22"/>
        </w:rPr>
        <w:t xml:space="preserve"> </w:t>
      </w:r>
      <w:r w:rsidRPr="007442AB">
        <w:rPr>
          <w:rFonts w:asciiTheme="minorHAnsi" w:hAnsiTheme="minorHAnsi" w:cstheme="minorHAnsi"/>
          <w:sz w:val="22"/>
          <w:szCs w:val="22"/>
        </w:rPr>
        <w:t>to its construction and upkeep</w:t>
      </w:r>
      <w:r w:rsidR="00012C0D" w:rsidRPr="007442AB">
        <w:rPr>
          <w:rFonts w:asciiTheme="minorHAnsi" w:hAnsiTheme="minorHAnsi" w:cstheme="minorHAnsi"/>
          <w:sz w:val="22"/>
          <w:szCs w:val="22"/>
        </w:rPr>
        <w:t>.</w:t>
      </w:r>
      <w:r w:rsidR="007442AB" w:rsidRPr="007442AB">
        <w:rPr>
          <w:rStyle w:val="FootnoteReference"/>
          <w:rFonts w:asciiTheme="minorHAnsi" w:hAnsiTheme="minorHAnsi" w:cstheme="minorHAnsi"/>
          <w:sz w:val="22"/>
          <w:szCs w:val="22"/>
        </w:rPr>
        <w:footnoteReference w:id="82"/>
      </w:r>
      <w:r w:rsidR="00012C0D" w:rsidRPr="007442AB">
        <w:rPr>
          <w:rFonts w:asciiTheme="minorHAnsi" w:hAnsiTheme="minorHAnsi" w:cstheme="minorHAnsi"/>
          <w:sz w:val="22"/>
          <w:szCs w:val="22"/>
        </w:rPr>
        <w:t xml:space="preserve">  </w:t>
      </w:r>
      <w:r w:rsidRPr="007442AB">
        <w:rPr>
          <w:rFonts w:asciiTheme="minorHAnsi" w:hAnsiTheme="minorHAnsi" w:cstheme="minorHAnsi"/>
          <w:sz w:val="22"/>
          <w:szCs w:val="22"/>
        </w:rPr>
        <w:t xml:space="preserve">Giving it the status of a </w:t>
      </w:r>
      <w:r w:rsidR="006D6E5A">
        <w:rPr>
          <w:rFonts w:asciiTheme="minorHAnsi" w:hAnsiTheme="minorHAnsi" w:cstheme="minorHAnsi"/>
          <w:sz w:val="22"/>
          <w:szCs w:val="22"/>
        </w:rPr>
        <w:t xml:space="preserve">provincial highway </w:t>
      </w:r>
      <w:r w:rsidRPr="007442AB">
        <w:rPr>
          <w:rFonts w:asciiTheme="minorHAnsi" w:hAnsiTheme="minorHAnsi" w:cstheme="minorHAnsi"/>
          <w:sz w:val="22"/>
          <w:szCs w:val="22"/>
        </w:rPr>
        <w:t>was the legal mechanism to</w:t>
      </w:r>
      <w:r w:rsidR="0006642F">
        <w:rPr>
          <w:rFonts w:asciiTheme="minorHAnsi" w:hAnsiTheme="minorHAnsi" w:cstheme="minorHAnsi"/>
          <w:sz w:val="22"/>
          <w:szCs w:val="22"/>
        </w:rPr>
        <w:t xml:space="preserve"> </w:t>
      </w:r>
      <w:r w:rsidRPr="007442AB">
        <w:rPr>
          <w:rFonts w:asciiTheme="minorHAnsi" w:hAnsiTheme="minorHAnsi" w:cstheme="minorHAnsi"/>
          <w:sz w:val="22"/>
          <w:szCs w:val="22"/>
        </w:rPr>
        <w:t xml:space="preserve">assure this. </w:t>
      </w:r>
    </w:p>
    <w:p w14:paraId="05224773" w14:textId="5CDD6FBC" w:rsidR="00387346" w:rsidRDefault="007803C9" w:rsidP="00703623">
      <w:pPr>
        <w:pStyle w:val="NormalWeb"/>
        <w:rPr>
          <w:rFonts w:asciiTheme="minorHAnsi" w:hAnsiTheme="minorHAnsi" w:cstheme="minorHAnsi"/>
          <w:sz w:val="22"/>
          <w:szCs w:val="22"/>
        </w:rPr>
      </w:pPr>
      <w:r>
        <w:rPr>
          <w:rFonts w:asciiTheme="minorHAnsi" w:hAnsiTheme="minorHAnsi" w:cstheme="minorHAnsi"/>
          <w:sz w:val="22"/>
          <w:szCs w:val="22"/>
        </w:rPr>
        <w:t>The Bloomingdale Road was laid out to a width of four rods or 66 feet.</w:t>
      </w:r>
      <w:r>
        <w:rPr>
          <w:rStyle w:val="FootnoteReference"/>
          <w:rFonts w:asciiTheme="minorHAnsi" w:hAnsiTheme="minorHAnsi" w:cstheme="minorHAnsi"/>
          <w:sz w:val="22"/>
          <w:szCs w:val="22"/>
        </w:rPr>
        <w:footnoteReference w:id="83"/>
      </w:r>
      <w:r>
        <w:rPr>
          <w:rFonts w:asciiTheme="minorHAnsi" w:hAnsiTheme="minorHAnsi" w:cstheme="minorHAnsi"/>
          <w:sz w:val="22"/>
          <w:szCs w:val="22"/>
        </w:rPr>
        <w:t xml:space="preserve">  </w:t>
      </w:r>
      <w:r w:rsidR="00306C81">
        <w:rPr>
          <w:rFonts w:asciiTheme="minorHAnsi" w:hAnsiTheme="minorHAnsi" w:cstheme="minorHAnsi"/>
          <w:sz w:val="22"/>
          <w:szCs w:val="22"/>
        </w:rPr>
        <w:t xml:space="preserve">The surveyors marked out two parallel lines, using stakes in the ground or blazes on trees.  </w:t>
      </w:r>
      <w:r>
        <w:rPr>
          <w:rFonts w:asciiTheme="minorHAnsi" w:hAnsiTheme="minorHAnsi" w:cstheme="minorHAnsi"/>
          <w:sz w:val="22"/>
          <w:szCs w:val="22"/>
        </w:rPr>
        <w:t>This was not the width of the roadway, but the width of the right-of-way</w:t>
      </w:r>
      <w:r w:rsidR="00306C81">
        <w:rPr>
          <w:rFonts w:asciiTheme="minorHAnsi" w:hAnsiTheme="minorHAnsi" w:cstheme="minorHAnsi"/>
          <w:sz w:val="22"/>
          <w:szCs w:val="22"/>
        </w:rPr>
        <w:t xml:space="preserve">, the line at which farmers could place </w:t>
      </w:r>
      <w:r w:rsidR="00387346">
        <w:rPr>
          <w:rFonts w:asciiTheme="minorHAnsi" w:hAnsiTheme="minorHAnsi" w:cstheme="minorHAnsi"/>
          <w:sz w:val="22"/>
          <w:szCs w:val="22"/>
        </w:rPr>
        <w:t>their fences</w:t>
      </w:r>
      <w:r>
        <w:rPr>
          <w:rFonts w:asciiTheme="minorHAnsi" w:hAnsiTheme="minorHAnsi" w:cstheme="minorHAnsi"/>
          <w:sz w:val="22"/>
          <w:szCs w:val="22"/>
        </w:rPr>
        <w:t>. The actual cleared path was a fraction of that</w:t>
      </w:r>
      <w:r w:rsidR="00387346">
        <w:rPr>
          <w:rFonts w:asciiTheme="minorHAnsi" w:hAnsiTheme="minorHAnsi" w:cstheme="minorHAnsi"/>
          <w:sz w:val="22"/>
          <w:szCs w:val="22"/>
        </w:rPr>
        <w:t>, probably no more than 1</w:t>
      </w:r>
      <w:r w:rsidR="00D37837">
        <w:rPr>
          <w:rFonts w:asciiTheme="minorHAnsi" w:hAnsiTheme="minorHAnsi" w:cstheme="minorHAnsi"/>
          <w:sz w:val="22"/>
          <w:szCs w:val="22"/>
        </w:rPr>
        <w:t>5 feet in most places</w:t>
      </w:r>
      <w:r w:rsidR="008C6A61">
        <w:rPr>
          <w:rFonts w:asciiTheme="minorHAnsi" w:hAnsiTheme="minorHAnsi" w:cstheme="minorHAnsi"/>
          <w:sz w:val="22"/>
          <w:szCs w:val="22"/>
        </w:rPr>
        <w:t xml:space="preserve">.  This made sense because the road—unpaved, of course—was subject to rutting, flooding and washouts.  There had to be room to </w:t>
      </w:r>
      <w:r w:rsidR="008C6A61">
        <w:rPr>
          <w:rFonts w:asciiTheme="minorHAnsi" w:hAnsiTheme="minorHAnsi" w:cstheme="minorHAnsi"/>
          <w:sz w:val="22"/>
          <w:szCs w:val="22"/>
        </w:rPr>
        <w:lastRenderedPageBreak/>
        <w:t xml:space="preserve">shift the alignment </w:t>
      </w:r>
      <w:r w:rsidR="00306C81">
        <w:rPr>
          <w:rFonts w:asciiTheme="minorHAnsi" w:hAnsiTheme="minorHAnsi" w:cstheme="minorHAnsi"/>
          <w:sz w:val="22"/>
          <w:szCs w:val="22"/>
        </w:rPr>
        <w:t>on short notice</w:t>
      </w:r>
      <w:r w:rsidR="008C6A61">
        <w:rPr>
          <w:rFonts w:asciiTheme="minorHAnsi" w:hAnsiTheme="minorHAnsi" w:cstheme="minorHAnsi"/>
          <w:sz w:val="22"/>
          <w:szCs w:val="22"/>
        </w:rPr>
        <w:t xml:space="preserve">.  There also had to be </w:t>
      </w:r>
      <w:r w:rsidR="00387346">
        <w:rPr>
          <w:rFonts w:asciiTheme="minorHAnsi" w:hAnsiTheme="minorHAnsi" w:cstheme="minorHAnsi"/>
          <w:sz w:val="22"/>
          <w:szCs w:val="22"/>
        </w:rPr>
        <w:t>space</w:t>
      </w:r>
      <w:r w:rsidR="008C6A61">
        <w:rPr>
          <w:rFonts w:asciiTheme="minorHAnsi" w:hAnsiTheme="minorHAnsi" w:cstheme="minorHAnsi"/>
          <w:sz w:val="22"/>
          <w:szCs w:val="22"/>
        </w:rPr>
        <w:t xml:space="preserve"> to make repairs, build embankments or dig drainage ditches where they were needed. </w:t>
      </w:r>
      <w:r w:rsidR="00306C81">
        <w:rPr>
          <w:rFonts w:asciiTheme="minorHAnsi" w:hAnsiTheme="minorHAnsi" w:cstheme="minorHAnsi"/>
          <w:sz w:val="22"/>
          <w:szCs w:val="22"/>
        </w:rPr>
        <w:t xml:space="preserve"> </w:t>
      </w:r>
    </w:p>
    <w:p w14:paraId="394DBF80" w14:textId="4C1CAD12" w:rsidR="005F1E42" w:rsidRDefault="00D37837" w:rsidP="00703623">
      <w:pPr>
        <w:pStyle w:val="NormalWeb"/>
        <w:rPr>
          <w:rFonts w:asciiTheme="minorHAnsi" w:hAnsiTheme="minorHAnsi" w:cstheme="minorHAnsi"/>
          <w:sz w:val="22"/>
          <w:szCs w:val="22"/>
        </w:rPr>
      </w:pPr>
      <w:r>
        <w:rPr>
          <w:rFonts w:asciiTheme="minorHAnsi" w:hAnsiTheme="minorHAnsi" w:cstheme="minorHAnsi"/>
          <w:sz w:val="22"/>
          <w:szCs w:val="22"/>
        </w:rPr>
        <w:t>The road was expected to be maintained by the people living along it through a system of conscripted labor</w:t>
      </w:r>
      <w:r w:rsidR="007529D3">
        <w:rPr>
          <w:rFonts w:asciiTheme="minorHAnsi" w:hAnsiTheme="minorHAnsi" w:cstheme="minorHAnsi"/>
          <w:sz w:val="22"/>
          <w:szCs w:val="22"/>
        </w:rPr>
        <w:t xml:space="preserve">. </w:t>
      </w:r>
      <w:r w:rsidR="005F1E42">
        <w:rPr>
          <w:rFonts w:asciiTheme="minorHAnsi" w:hAnsiTheme="minorHAnsi" w:cstheme="minorHAnsi"/>
          <w:sz w:val="22"/>
          <w:szCs w:val="22"/>
        </w:rPr>
        <w:t xml:space="preserve"> Overseers were appointed for each district, with </w:t>
      </w:r>
      <w:r w:rsidR="00215CC9">
        <w:rPr>
          <w:rFonts w:asciiTheme="minorHAnsi" w:hAnsiTheme="minorHAnsi" w:cstheme="minorHAnsi"/>
          <w:sz w:val="22"/>
          <w:szCs w:val="22"/>
        </w:rPr>
        <w:t xml:space="preserve">the </w:t>
      </w:r>
      <w:r w:rsidR="005F1E42">
        <w:rPr>
          <w:rFonts w:asciiTheme="minorHAnsi" w:hAnsiTheme="minorHAnsi" w:cstheme="minorHAnsi"/>
          <w:sz w:val="22"/>
          <w:szCs w:val="22"/>
        </w:rPr>
        <w:t>power to compel people to work on the highway for a certain number of days per year, or to provide substitutes, under penalty of a fine.</w:t>
      </w:r>
      <w:r w:rsidR="00E732A3">
        <w:rPr>
          <w:rStyle w:val="FootnoteReference"/>
          <w:rFonts w:asciiTheme="minorHAnsi" w:hAnsiTheme="minorHAnsi" w:cstheme="minorHAnsi"/>
          <w:sz w:val="22"/>
          <w:szCs w:val="22"/>
        </w:rPr>
        <w:footnoteReference w:id="84"/>
      </w:r>
      <w:r w:rsidR="005F1E42">
        <w:rPr>
          <w:rFonts w:asciiTheme="minorHAnsi" w:hAnsiTheme="minorHAnsi" w:cstheme="minorHAnsi"/>
          <w:sz w:val="22"/>
          <w:szCs w:val="22"/>
        </w:rPr>
        <w:t xml:space="preserve">  </w:t>
      </w:r>
    </w:p>
    <w:p w14:paraId="32417712" w14:textId="14C798ED" w:rsidR="005F1E42" w:rsidRDefault="005F1E42" w:rsidP="00703623">
      <w:pPr>
        <w:pStyle w:val="NormalWeb"/>
        <w:rPr>
          <w:rFonts w:asciiTheme="minorHAnsi" w:hAnsiTheme="minorHAnsi" w:cstheme="minorHAnsi"/>
          <w:sz w:val="22"/>
          <w:szCs w:val="22"/>
        </w:rPr>
      </w:pPr>
      <w:r>
        <w:rPr>
          <w:rFonts w:asciiTheme="minorHAnsi" w:hAnsiTheme="minorHAnsi" w:cstheme="minorHAnsi"/>
          <w:sz w:val="22"/>
          <w:szCs w:val="22"/>
        </w:rPr>
        <w:t xml:space="preserve">As it turned out, the work of maintaining </w:t>
      </w:r>
      <w:r w:rsidR="00A27684">
        <w:rPr>
          <w:rFonts w:asciiTheme="minorHAnsi" w:hAnsiTheme="minorHAnsi" w:cstheme="minorHAnsi"/>
          <w:sz w:val="22"/>
          <w:szCs w:val="22"/>
        </w:rPr>
        <w:t>the</w:t>
      </w:r>
      <w:r>
        <w:rPr>
          <w:rFonts w:asciiTheme="minorHAnsi" w:hAnsiTheme="minorHAnsi" w:cstheme="minorHAnsi"/>
          <w:sz w:val="22"/>
          <w:szCs w:val="22"/>
        </w:rPr>
        <w:t xml:space="preserve"> road was excessively burdensome for the inhabitants of </w:t>
      </w:r>
      <w:r w:rsidR="00A27684">
        <w:rPr>
          <w:rFonts w:asciiTheme="minorHAnsi" w:hAnsiTheme="minorHAnsi" w:cstheme="minorHAnsi"/>
          <w:sz w:val="22"/>
          <w:szCs w:val="22"/>
        </w:rPr>
        <w:t xml:space="preserve">the </w:t>
      </w:r>
      <w:r>
        <w:rPr>
          <w:rFonts w:asciiTheme="minorHAnsi" w:hAnsiTheme="minorHAnsi" w:cstheme="minorHAnsi"/>
          <w:sz w:val="22"/>
          <w:szCs w:val="22"/>
        </w:rPr>
        <w:t>Bloomingdale</w:t>
      </w:r>
      <w:r w:rsidR="00A27684">
        <w:rPr>
          <w:rFonts w:asciiTheme="minorHAnsi" w:hAnsiTheme="minorHAnsi" w:cstheme="minorHAnsi"/>
          <w:sz w:val="22"/>
          <w:szCs w:val="22"/>
        </w:rPr>
        <w:t xml:space="preserve"> district</w:t>
      </w:r>
      <w:r>
        <w:rPr>
          <w:rFonts w:asciiTheme="minorHAnsi" w:hAnsiTheme="minorHAnsi" w:cstheme="minorHAnsi"/>
          <w:sz w:val="22"/>
          <w:szCs w:val="22"/>
        </w:rPr>
        <w:t>, with its relatively small population.  In 1751</w:t>
      </w:r>
      <w:r w:rsidR="00A42211">
        <w:rPr>
          <w:rFonts w:asciiTheme="minorHAnsi" w:hAnsiTheme="minorHAnsi" w:cstheme="minorHAnsi"/>
          <w:sz w:val="22"/>
          <w:szCs w:val="22"/>
        </w:rPr>
        <w:t xml:space="preserve">, </w:t>
      </w:r>
      <w:r>
        <w:rPr>
          <w:rFonts w:asciiTheme="minorHAnsi" w:hAnsiTheme="minorHAnsi" w:cstheme="minorHAnsi"/>
          <w:sz w:val="22"/>
          <w:szCs w:val="22"/>
        </w:rPr>
        <w:t>the legislature</w:t>
      </w:r>
      <w:r w:rsidR="00A42211">
        <w:rPr>
          <w:rFonts w:asciiTheme="minorHAnsi" w:hAnsiTheme="minorHAnsi" w:cstheme="minorHAnsi"/>
          <w:sz w:val="22"/>
          <w:szCs w:val="22"/>
        </w:rPr>
        <w:t>, in an act specifically to address the maintenance of the Bloomingdale Road, reduced the right-of-way from four rods to two.</w:t>
      </w:r>
      <w:r w:rsidR="006D7DFC">
        <w:rPr>
          <w:rStyle w:val="FootnoteReference"/>
          <w:rFonts w:asciiTheme="minorHAnsi" w:hAnsiTheme="minorHAnsi" w:cstheme="minorHAnsi"/>
          <w:sz w:val="22"/>
          <w:szCs w:val="22"/>
        </w:rPr>
        <w:footnoteReference w:id="85"/>
      </w:r>
    </w:p>
    <w:p w14:paraId="2D323F08" w14:textId="77777777" w:rsidR="00CC09DB" w:rsidRDefault="00F06909" w:rsidP="00703623">
      <w:pPr>
        <w:pStyle w:val="NormalWeb"/>
        <w:rPr>
          <w:rFonts w:asciiTheme="minorHAnsi" w:hAnsiTheme="minorHAnsi" w:cstheme="minorHAnsi"/>
          <w:sz w:val="22"/>
          <w:szCs w:val="22"/>
        </w:rPr>
      </w:pPr>
      <w:r>
        <w:rPr>
          <w:rFonts w:asciiTheme="minorHAnsi" w:hAnsiTheme="minorHAnsi" w:cstheme="minorHAnsi"/>
          <w:sz w:val="22"/>
          <w:szCs w:val="22"/>
        </w:rPr>
        <w:t xml:space="preserve">The road did have the effect of increasing land values and changing the social character of Bloomingdale.  In 1707, Bloomingdale was still </w:t>
      </w:r>
      <w:r w:rsidR="00526DDF">
        <w:rPr>
          <w:rFonts w:asciiTheme="minorHAnsi" w:hAnsiTheme="minorHAnsi" w:cstheme="minorHAnsi"/>
          <w:sz w:val="22"/>
          <w:szCs w:val="22"/>
        </w:rPr>
        <w:t xml:space="preserve">predominantly </w:t>
      </w:r>
      <w:r>
        <w:rPr>
          <w:rFonts w:asciiTheme="minorHAnsi" w:hAnsiTheme="minorHAnsi" w:cstheme="minorHAnsi"/>
          <w:sz w:val="22"/>
          <w:szCs w:val="22"/>
        </w:rPr>
        <w:t xml:space="preserve">an agricultural district.  </w:t>
      </w:r>
      <w:r w:rsidR="00526DDF">
        <w:rPr>
          <w:rFonts w:asciiTheme="minorHAnsi" w:hAnsiTheme="minorHAnsi" w:cstheme="minorHAnsi"/>
          <w:sz w:val="22"/>
          <w:szCs w:val="22"/>
        </w:rPr>
        <w:t>A major shift came with the arrival</w:t>
      </w:r>
      <w:r w:rsidR="00612669">
        <w:rPr>
          <w:rFonts w:asciiTheme="minorHAnsi" w:hAnsiTheme="minorHAnsi" w:cstheme="minorHAnsi"/>
          <w:sz w:val="22"/>
          <w:szCs w:val="22"/>
        </w:rPr>
        <w:t xml:space="preserve"> </w:t>
      </w:r>
      <w:r w:rsidR="00526DDF">
        <w:rPr>
          <w:rFonts w:asciiTheme="minorHAnsi" w:hAnsiTheme="minorHAnsi" w:cstheme="minorHAnsi"/>
          <w:sz w:val="22"/>
          <w:szCs w:val="22"/>
        </w:rPr>
        <w:t>of Stephen Delancey</w:t>
      </w:r>
      <w:r w:rsidR="00612669">
        <w:rPr>
          <w:rFonts w:asciiTheme="minorHAnsi" w:hAnsiTheme="minorHAnsi" w:cstheme="minorHAnsi"/>
          <w:sz w:val="22"/>
          <w:szCs w:val="22"/>
        </w:rPr>
        <w:t>, one of the richest and most socially prominent men in the colony.  Sometime between 1720 and 1729 he acquired the former Lots 8, 9 and 10 of the syndicate’s grant, amounting to about 300 acres, and established a country estate that he called Bloomingdale.  Also in 1729, he acquired the former Lots 3, 4 and 5</w:t>
      </w:r>
      <w:r w:rsidR="005170E4">
        <w:rPr>
          <w:rFonts w:asciiTheme="minorHAnsi" w:hAnsiTheme="minorHAnsi" w:cstheme="minorHAnsi"/>
          <w:sz w:val="22"/>
          <w:szCs w:val="22"/>
        </w:rPr>
        <w:t>, which he called Little Bloomingdale.</w:t>
      </w:r>
      <w:r w:rsidR="006D7DFC">
        <w:rPr>
          <w:rFonts w:asciiTheme="minorHAnsi" w:hAnsiTheme="minorHAnsi" w:cstheme="minorHAnsi"/>
          <w:sz w:val="22"/>
          <w:szCs w:val="22"/>
        </w:rPr>
        <w:t xml:space="preserve"> </w:t>
      </w:r>
      <w:r w:rsidR="00643A78">
        <w:rPr>
          <w:rFonts w:asciiTheme="minorHAnsi" w:hAnsiTheme="minorHAnsi" w:cstheme="minorHAnsi"/>
          <w:sz w:val="22"/>
          <w:szCs w:val="22"/>
        </w:rPr>
        <w:t>The presence of the Delancey estates g</w:t>
      </w:r>
      <w:r w:rsidR="005170E4">
        <w:rPr>
          <w:rFonts w:asciiTheme="minorHAnsi" w:hAnsiTheme="minorHAnsi" w:cstheme="minorHAnsi"/>
          <w:sz w:val="22"/>
          <w:szCs w:val="22"/>
        </w:rPr>
        <w:t>ave Bloomingdale a social cachet that attract</w:t>
      </w:r>
      <w:r w:rsidR="00215CC9">
        <w:rPr>
          <w:rFonts w:asciiTheme="minorHAnsi" w:hAnsiTheme="minorHAnsi" w:cstheme="minorHAnsi"/>
          <w:sz w:val="22"/>
          <w:szCs w:val="22"/>
        </w:rPr>
        <w:t>ed</w:t>
      </w:r>
      <w:r w:rsidR="005170E4">
        <w:rPr>
          <w:rFonts w:asciiTheme="minorHAnsi" w:hAnsiTheme="minorHAnsi" w:cstheme="minorHAnsi"/>
          <w:sz w:val="22"/>
          <w:szCs w:val="22"/>
        </w:rPr>
        <w:t xml:space="preserve"> other landed gentry</w:t>
      </w:r>
      <w:r w:rsidR="00643A78">
        <w:rPr>
          <w:rFonts w:asciiTheme="minorHAnsi" w:hAnsiTheme="minorHAnsi" w:cstheme="minorHAnsi"/>
          <w:sz w:val="22"/>
          <w:szCs w:val="22"/>
        </w:rPr>
        <w:t>--</w:t>
      </w:r>
      <w:r w:rsidR="005170E4">
        <w:rPr>
          <w:rFonts w:asciiTheme="minorHAnsi" w:hAnsiTheme="minorHAnsi" w:cstheme="minorHAnsi"/>
          <w:sz w:val="22"/>
          <w:szCs w:val="22"/>
        </w:rPr>
        <w:t xml:space="preserve"> or would-be gentry</w:t>
      </w:r>
      <w:r w:rsidR="00643A78">
        <w:rPr>
          <w:rFonts w:asciiTheme="minorHAnsi" w:hAnsiTheme="minorHAnsi" w:cstheme="minorHAnsi"/>
          <w:sz w:val="22"/>
          <w:szCs w:val="22"/>
        </w:rPr>
        <w:t>--</w:t>
      </w:r>
      <w:r w:rsidR="00215CC9">
        <w:rPr>
          <w:rFonts w:asciiTheme="minorHAnsi" w:hAnsiTheme="minorHAnsi" w:cstheme="minorHAnsi"/>
          <w:sz w:val="22"/>
          <w:szCs w:val="22"/>
        </w:rPr>
        <w:t xml:space="preserve"> for several more generations. </w:t>
      </w:r>
    </w:p>
    <w:p w14:paraId="08E615CC" w14:textId="3FC1DBA2" w:rsidR="00643A78" w:rsidRDefault="00116BBC" w:rsidP="00703623">
      <w:pPr>
        <w:pStyle w:val="NormalWeb"/>
        <w:rPr>
          <w:rFonts w:asciiTheme="minorHAnsi" w:hAnsiTheme="minorHAnsi" w:cstheme="minorHAnsi"/>
          <w:sz w:val="22"/>
          <w:szCs w:val="22"/>
        </w:rPr>
      </w:pPr>
      <w:r>
        <w:rPr>
          <w:rFonts w:asciiTheme="minorHAnsi" w:hAnsiTheme="minorHAnsi" w:cstheme="minorHAnsi"/>
          <w:sz w:val="22"/>
          <w:szCs w:val="22"/>
        </w:rPr>
        <w:t>The Bloomingdale Road was an important determinant of development in Upper Manhattan.  It would have been obliterated by the Commissioner’s Plan of 1811, but by that by time so much had been built in relation to the Bloomingdale Road that it managed to survive.  With minor tweaks of alignment, the Bloomingdale Road is essentially today’s Broadway from 23</w:t>
      </w:r>
      <w:r w:rsidRPr="00116BBC">
        <w:rPr>
          <w:rFonts w:asciiTheme="minorHAnsi" w:hAnsiTheme="minorHAnsi" w:cstheme="minorHAnsi"/>
          <w:sz w:val="22"/>
          <w:szCs w:val="22"/>
          <w:vertAlign w:val="superscript"/>
        </w:rPr>
        <w:t>rd</w:t>
      </w:r>
      <w:r>
        <w:rPr>
          <w:rFonts w:asciiTheme="minorHAnsi" w:hAnsiTheme="minorHAnsi" w:cstheme="minorHAnsi"/>
          <w:sz w:val="22"/>
          <w:szCs w:val="22"/>
        </w:rPr>
        <w:t xml:space="preserve"> Street to 107</w:t>
      </w:r>
      <w:r w:rsidRPr="00116BBC">
        <w:rPr>
          <w:rFonts w:asciiTheme="minorHAnsi" w:hAnsiTheme="minorHAnsi" w:cstheme="minorHAnsi"/>
          <w:sz w:val="22"/>
          <w:szCs w:val="22"/>
          <w:vertAlign w:val="superscript"/>
        </w:rPr>
        <w:t>th</w:t>
      </w:r>
      <w:r>
        <w:rPr>
          <w:rFonts w:asciiTheme="minorHAnsi" w:hAnsiTheme="minorHAnsi" w:cstheme="minorHAnsi"/>
          <w:sz w:val="22"/>
          <w:szCs w:val="22"/>
        </w:rPr>
        <w:t xml:space="preserve"> Street.  The squares created by its intersections with the grid</w:t>
      </w:r>
      <w:r w:rsidR="00215CC9">
        <w:rPr>
          <w:rFonts w:asciiTheme="minorHAnsi" w:hAnsiTheme="minorHAnsi" w:cstheme="minorHAnsi"/>
          <w:sz w:val="22"/>
          <w:szCs w:val="22"/>
        </w:rPr>
        <w:t xml:space="preserve"> </w:t>
      </w:r>
      <w:r>
        <w:rPr>
          <w:rFonts w:asciiTheme="minorHAnsi" w:hAnsiTheme="minorHAnsi" w:cstheme="minorHAnsi"/>
          <w:sz w:val="22"/>
          <w:szCs w:val="22"/>
        </w:rPr>
        <w:t>remain some of the liveliest and most interesting places on Manhattan Island.</w:t>
      </w:r>
    </w:p>
    <w:sectPr w:rsidR="00643A7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BD9D7" w14:textId="77777777" w:rsidR="00AE6C29" w:rsidRDefault="00AE6C29" w:rsidP="0004558B">
      <w:pPr>
        <w:spacing w:after="0" w:line="240" w:lineRule="auto"/>
      </w:pPr>
      <w:r>
        <w:separator/>
      </w:r>
    </w:p>
  </w:endnote>
  <w:endnote w:type="continuationSeparator" w:id="0">
    <w:p w14:paraId="2C25B32A" w14:textId="77777777" w:rsidR="00AE6C29" w:rsidRDefault="00AE6C29" w:rsidP="0004558B">
      <w:pPr>
        <w:spacing w:after="0" w:line="240" w:lineRule="auto"/>
      </w:pPr>
      <w:r>
        <w:continuationSeparator/>
      </w:r>
    </w:p>
  </w:endnote>
  <w:endnote w:id="1">
    <w:p w14:paraId="26AF1738" w14:textId="77777777" w:rsidR="008A6A5A" w:rsidRDefault="008A6A5A" w:rsidP="008A6A5A">
      <w:pPr>
        <w:pStyle w:val="EndnoteText"/>
      </w:pPr>
      <w:r>
        <w:t>Gilbert Tauber</w:t>
      </w:r>
    </w:p>
    <w:p w14:paraId="748F0BBA" w14:textId="77777777" w:rsidR="008A6A5A" w:rsidRDefault="008A6A5A" w:rsidP="008A6A5A">
      <w:pPr>
        <w:pStyle w:val="EndnoteText"/>
        <w:jc w:val="right"/>
      </w:pPr>
    </w:p>
    <w:p w14:paraId="72FECCB6" w14:textId="219F3A5F" w:rsidR="00586330" w:rsidRDefault="008A6A5A" w:rsidP="008A6A5A">
      <w:pPr>
        <w:pStyle w:val="EndnoteText"/>
        <w:jc w:val="right"/>
      </w:pPr>
      <w:r>
        <w:t>Rev. to 1 Mar 2023</w:t>
      </w:r>
    </w:p>
    <w:p w14:paraId="1739DB50" w14:textId="77777777" w:rsidR="008A6A5A" w:rsidRDefault="008A6A5A" w:rsidP="00390976">
      <w:pPr>
        <w:pStyle w:val="EndnoteText"/>
        <w:jc w:val="center"/>
      </w:pPr>
    </w:p>
    <w:p w14:paraId="0C03489F" w14:textId="625CA52F" w:rsidR="006D7DFC" w:rsidRPr="00ED6ECE" w:rsidRDefault="006D7DFC" w:rsidP="00390976">
      <w:pPr>
        <w:pStyle w:val="EndnoteText"/>
        <w:jc w:val="center"/>
      </w:pPr>
      <w:r>
        <w:t>XXX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3EA7B" w14:textId="77777777" w:rsidR="00AE6C29" w:rsidRDefault="00AE6C29" w:rsidP="0004558B">
      <w:pPr>
        <w:spacing w:after="0" w:line="240" w:lineRule="auto"/>
      </w:pPr>
      <w:r>
        <w:separator/>
      </w:r>
    </w:p>
  </w:footnote>
  <w:footnote w:type="continuationSeparator" w:id="0">
    <w:p w14:paraId="71CCF80E" w14:textId="77777777" w:rsidR="00AE6C29" w:rsidRDefault="00AE6C29" w:rsidP="0004558B">
      <w:pPr>
        <w:spacing w:after="0" w:line="240" w:lineRule="auto"/>
      </w:pPr>
      <w:r>
        <w:continuationSeparator/>
      </w:r>
    </w:p>
  </w:footnote>
  <w:footnote w:id="1">
    <w:p w14:paraId="0832F8D4" w14:textId="055E2152" w:rsidR="00876F0B" w:rsidRPr="00876F0B" w:rsidRDefault="00876F0B">
      <w:pPr>
        <w:pStyle w:val="FootnoteText"/>
        <w:rPr>
          <w:sz w:val="16"/>
          <w:szCs w:val="16"/>
        </w:rPr>
      </w:pPr>
      <w:r w:rsidRPr="00876F0B">
        <w:rPr>
          <w:rStyle w:val="FootnoteReference"/>
          <w:sz w:val="16"/>
          <w:szCs w:val="16"/>
        </w:rPr>
        <w:footnoteRef/>
      </w:r>
      <w:r w:rsidRPr="00876F0B">
        <w:rPr>
          <w:sz w:val="16"/>
          <w:szCs w:val="16"/>
        </w:rPr>
        <w:t xml:space="preserve"> Mott, Hopper Striker</w:t>
      </w:r>
      <w:r w:rsidRPr="008D1BDE">
        <w:rPr>
          <w:i/>
          <w:iCs/>
          <w:sz w:val="16"/>
          <w:szCs w:val="16"/>
        </w:rPr>
        <w:t>.  The New York of Yesterday:  A Descriptive Narrative of Old Bloomingdale</w:t>
      </w:r>
      <w:r w:rsidRPr="00876F0B">
        <w:rPr>
          <w:sz w:val="16"/>
          <w:szCs w:val="16"/>
        </w:rPr>
        <w:t xml:space="preserve">. </w:t>
      </w:r>
      <w:r w:rsidR="009A0A7A">
        <w:rPr>
          <w:sz w:val="16"/>
          <w:szCs w:val="16"/>
        </w:rPr>
        <w:t xml:space="preserve"> </w:t>
      </w:r>
      <w:r w:rsidRPr="00876F0B">
        <w:rPr>
          <w:sz w:val="16"/>
          <w:szCs w:val="16"/>
        </w:rPr>
        <w:t>New York, G.P. Putnam’s Sons</w:t>
      </w:r>
      <w:r w:rsidR="007C1F5D">
        <w:rPr>
          <w:sz w:val="16"/>
          <w:szCs w:val="16"/>
        </w:rPr>
        <w:t>,</w:t>
      </w:r>
      <w:r w:rsidRPr="00876F0B">
        <w:rPr>
          <w:sz w:val="16"/>
          <w:szCs w:val="16"/>
        </w:rPr>
        <w:t xml:space="preserve"> 1908</w:t>
      </w:r>
      <w:r w:rsidR="009A0A7A">
        <w:rPr>
          <w:sz w:val="16"/>
          <w:szCs w:val="16"/>
        </w:rPr>
        <w:t>, pp. 2-5</w:t>
      </w:r>
      <w:r>
        <w:rPr>
          <w:sz w:val="16"/>
          <w:szCs w:val="16"/>
        </w:rPr>
        <w:t>.</w:t>
      </w:r>
    </w:p>
  </w:footnote>
  <w:footnote w:id="2">
    <w:p w14:paraId="5315D90B" w14:textId="15B8BA84" w:rsidR="00AF4973" w:rsidRPr="009716DD" w:rsidRDefault="00AF4973">
      <w:pPr>
        <w:pStyle w:val="FootnoteText"/>
        <w:rPr>
          <w:sz w:val="16"/>
          <w:szCs w:val="16"/>
        </w:rPr>
      </w:pPr>
      <w:r w:rsidRPr="009716DD">
        <w:rPr>
          <w:rStyle w:val="FootnoteReference"/>
          <w:sz w:val="16"/>
          <w:szCs w:val="16"/>
        </w:rPr>
        <w:footnoteRef/>
      </w:r>
      <w:r w:rsidRPr="009716DD">
        <w:rPr>
          <w:sz w:val="16"/>
          <w:szCs w:val="16"/>
        </w:rPr>
        <w:t>Since water access was essential to get produce to market, these early farms were located on the East and Harlem Rivers or on a navigable creek</w:t>
      </w:r>
      <w:r w:rsidR="009D429D">
        <w:rPr>
          <w:sz w:val="16"/>
          <w:szCs w:val="16"/>
        </w:rPr>
        <w:t>, la</w:t>
      </w:r>
      <w:r w:rsidR="002977BA">
        <w:rPr>
          <w:sz w:val="16"/>
          <w:szCs w:val="16"/>
        </w:rPr>
        <w:t xml:space="preserve">ter known as Harlem Creek, </w:t>
      </w:r>
      <w:r w:rsidRPr="009716DD">
        <w:rPr>
          <w:sz w:val="16"/>
          <w:szCs w:val="16"/>
        </w:rPr>
        <w:t>that extended inland in the vicinity of 107</w:t>
      </w:r>
      <w:r w:rsidRPr="009716DD">
        <w:rPr>
          <w:sz w:val="16"/>
          <w:szCs w:val="16"/>
          <w:vertAlign w:val="superscript"/>
        </w:rPr>
        <w:t>th</w:t>
      </w:r>
      <w:r w:rsidRPr="009716DD">
        <w:rPr>
          <w:sz w:val="16"/>
          <w:szCs w:val="16"/>
        </w:rPr>
        <w:t xml:space="preserve"> St.  A part of this creek remains as Central Park’s Harlem Meer.  The hilly and rocky terrain </w:t>
      </w:r>
      <w:r w:rsidR="0043342F">
        <w:rPr>
          <w:sz w:val="16"/>
          <w:szCs w:val="16"/>
        </w:rPr>
        <w:t>nearer</w:t>
      </w:r>
      <w:r w:rsidRPr="009716DD">
        <w:rPr>
          <w:sz w:val="16"/>
          <w:szCs w:val="16"/>
        </w:rPr>
        <w:t xml:space="preserve"> the Hudson, the future Bloomingdale, was far less desirable for agriculture.</w:t>
      </w:r>
    </w:p>
  </w:footnote>
  <w:footnote w:id="3">
    <w:p w14:paraId="3813D5F9" w14:textId="232187AD" w:rsidR="00AF4973" w:rsidRPr="00565C78" w:rsidRDefault="00AF4973" w:rsidP="00F53CEE">
      <w:pPr>
        <w:pStyle w:val="FootnoteText"/>
        <w:rPr>
          <w:sz w:val="16"/>
          <w:szCs w:val="16"/>
        </w:rPr>
      </w:pPr>
      <w:r w:rsidRPr="00565C78">
        <w:rPr>
          <w:rStyle w:val="FootnoteReference"/>
          <w:sz w:val="16"/>
          <w:szCs w:val="16"/>
        </w:rPr>
        <w:footnoteRef/>
      </w:r>
      <w:proofErr w:type="spellStart"/>
      <w:r w:rsidRPr="00565C78">
        <w:rPr>
          <w:sz w:val="16"/>
          <w:szCs w:val="16"/>
        </w:rPr>
        <w:t>Kieft</w:t>
      </w:r>
      <w:proofErr w:type="spellEnd"/>
      <w:r w:rsidRPr="00565C78">
        <w:rPr>
          <w:sz w:val="16"/>
          <w:szCs w:val="16"/>
        </w:rPr>
        <w:t xml:space="preserve">, contrary to the instructions of his superiors in Amsterdam, sought to tax local Indians, who resisted.  Shortly thereafter, the local Indians found themselves in conflict with the more powerful </w:t>
      </w:r>
      <w:r>
        <w:rPr>
          <w:sz w:val="16"/>
          <w:szCs w:val="16"/>
        </w:rPr>
        <w:t>Mohawks</w:t>
      </w:r>
      <w:r w:rsidRPr="00565C78">
        <w:rPr>
          <w:sz w:val="16"/>
          <w:szCs w:val="16"/>
        </w:rPr>
        <w:t xml:space="preserve"> to the north and had taken refuge near Dutch settlements.  </w:t>
      </w:r>
      <w:proofErr w:type="spellStart"/>
      <w:r w:rsidRPr="00565C78">
        <w:rPr>
          <w:sz w:val="16"/>
          <w:szCs w:val="16"/>
        </w:rPr>
        <w:t>Kieft</w:t>
      </w:r>
      <w:proofErr w:type="spellEnd"/>
      <w:r w:rsidRPr="00565C78">
        <w:rPr>
          <w:sz w:val="16"/>
          <w:szCs w:val="16"/>
        </w:rPr>
        <w:t xml:space="preserve"> decided, against the advice of his own councilors, to take advantage of the situation</w:t>
      </w:r>
      <w:r>
        <w:rPr>
          <w:sz w:val="16"/>
          <w:szCs w:val="16"/>
        </w:rPr>
        <w:t xml:space="preserve">.  He </w:t>
      </w:r>
      <w:r w:rsidRPr="00565C78">
        <w:rPr>
          <w:sz w:val="16"/>
          <w:szCs w:val="16"/>
        </w:rPr>
        <w:t>order</w:t>
      </w:r>
      <w:r>
        <w:rPr>
          <w:sz w:val="16"/>
          <w:szCs w:val="16"/>
        </w:rPr>
        <w:t>ed</w:t>
      </w:r>
      <w:r w:rsidRPr="00565C78">
        <w:rPr>
          <w:sz w:val="16"/>
          <w:szCs w:val="16"/>
        </w:rPr>
        <w:t xml:space="preserve"> his soldiers to attack the Indian encampments, which were populated mainly by women and children.  Hundreds of them were slaughtered, leading to years of retaliatory raids.   In 1647, in response to citizen complaints to his employers in Amsterdam, </w:t>
      </w:r>
      <w:proofErr w:type="spellStart"/>
      <w:r w:rsidRPr="00565C78">
        <w:rPr>
          <w:sz w:val="16"/>
          <w:szCs w:val="16"/>
        </w:rPr>
        <w:t>Kieft</w:t>
      </w:r>
      <w:proofErr w:type="spellEnd"/>
      <w:r w:rsidRPr="00565C78">
        <w:rPr>
          <w:sz w:val="16"/>
          <w:szCs w:val="16"/>
        </w:rPr>
        <w:t xml:space="preserve"> was recalled and replaced by Peter Stuyvesant. </w:t>
      </w:r>
      <w:proofErr w:type="spellStart"/>
      <w:r>
        <w:rPr>
          <w:sz w:val="16"/>
          <w:szCs w:val="16"/>
        </w:rPr>
        <w:t>Kieft</w:t>
      </w:r>
      <w:proofErr w:type="spellEnd"/>
      <w:r>
        <w:rPr>
          <w:sz w:val="16"/>
          <w:szCs w:val="16"/>
        </w:rPr>
        <w:t xml:space="preserve"> </w:t>
      </w:r>
      <w:r w:rsidRPr="00565C78">
        <w:rPr>
          <w:sz w:val="16"/>
          <w:szCs w:val="16"/>
        </w:rPr>
        <w:t>died in a shipwreck on the voyage home.</w:t>
      </w:r>
      <w:r w:rsidR="009D429D">
        <w:rPr>
          <w:sz w:val="16"/>
          <w:szCs w:val="16"/>
        </w:rPr>
        <w:t xml:space="preserve">  (</w:t>
      </w:r>
      <w:r w:rsidR="008D1BDE">
        <w:rPr>
          <w:sz w:val="16"/>
          <w:szCs w:val="16"/>
        </w:rPr>
        <w:t xml:space="preserve">Burrows, Edwin G., and Mike Wallace.  </w:t>
      </w:r>
      <w:r w:rsidR="008D1BDE" w:rsidRPr="008D1BDE">
        <w:rPr>
          <w:i/>
          <w:iCs/>
          <w:sz w:val="16"/>
          <w:szCs w:val="16"/>
        </w:rPr>
        <w:t>Gotham: A History of New York City to 18</w:t>
      </w:r>
      <w:r w:rsidR="0007000D">
        <w:rPr>
          <w:i/>
          <w:iCs/>
          <w:sz w:val="16"/>
          <w:szCs w:val="16"/>
        </w:rPr>
        <w:t>9</w:t>
      </w:r>
      <w:r w:rsidR="008D1BDE" w:rsidRPr="008D1BDE">
        <w:rPr>
          <w:i/>
          <w:iCs/>
          <w:sz w:val="16"/>
          <w:szCs w:val="16"/>
        </w:rPr>
        <w:t>8</w:t>
      </w:r>
      <w:r w:rsidR="008D1BDE">
        <w:rPr>
          <w:sz w:val="16"/>
          <w:szCs w:val="16"/>
        </w:rPr>
        <w:t xml:space="preserve">.  New York, Oxford University Press, 1899; </w:t>
      </w:r>
      <w:r w:rsidR="009D429D">
        <w:rPr>
          <w:sz w:val="16"/>
          <w:szCs w:val="16"/>
        </w:rPr>
        <w:t xml:space="preserve">Wikipedia “Willem </w:t>
      </w:r>
      <w:proofErr w:type="spellStart"/>
      <w:r w:rsidR="009D429D">
        <w:rPr>
          <w:sz w:val="16"/>
          <w:szCs w:val="16"/>
        </w:rPr>
        <w:t>Kieft</w:t>
      </w:r>
      <w:proofErr w:type="spellEnd"/>
      <w:r w:rsidR="009D429D">
        <w:rPr>
          <w:sz w:val="16"/>
          <w:szCs w:val="16"/>
        </w:rPr>
        <w:t>.” Accessed</w:t>
      </w:r>
      <w:r w:rsidRPr="00565C78">
        <w:rPr>
          <w:sz w:val="16"/>
          <w:szCs w:val="16"/>
        </w:rPr>
        <w:t xml:space="preserve"> </w:t>
      </w:r>
      <w:r w:rsidR="009D429D">
        <w:rPr>
          <w:sz w:val="16"/>
          <w:szCs w:val="16"/>
        </w:rPr>
        <w:t>February 12, 2033)</w:t>
      </w:r>
    </w:p>
  </w:footnote>
  <w:footnote w:id="4">
    <w:p w14:paraId="5C788307" w14:textId="69C6DEF8" w:rsidR="001E2860" w:rsidRDefault="001E2860">
      <w:pPr>
        <w:pStyle w:val="FootnoteText"/>
      </w:pPr>
      <w:r>
        <w:rPr>
          <w:rStyle w:val="FootnoteReference"/>
        </w:rPr>
        <w:footnoteRef/>
      </w:r>
      <w:r>
        <w:t xml:space="preserve"> </w:t>
      </w:r>
      <w:r w:rsidRPr="008D1BDE">
        <w:rPr>
          <w:sz w:val="16"/>
          <w:szCs w:val="16"/>
        </w:rPr>
        <w:t xml:space="preserve">Riker, James.  </w:t>
      </w:r>
      <w:r w:rsidRPr="008D1BDE">
        <w:rPr>
          <w:i/>
          <w:iCs/>
          <w:sz w:val="16"/>
          <w:szCs w:val="16"/>
        </w:rPr>
        <w:t>Revised History of Harlem, Its Origins and Early Annals</w:t>
      </w:r>
      <w:r w:rsidRPr="008D1BDE">
        <w:rPr>
          <w:sz w:val="16"/>
          <w:szCs w:val="16"/>
        </w:rPr>
        <w:t xml:space="preserve">.  New York, New Harlem Publishing Co., 1904.  </w:t>
      </w:r>
      <w:r w:rsidR="008D1BDE">
        <w:rPr>
          <w:sz w:val="16"/>
          <w:szCs w:val="16"/>
        </w:rPr>
        <w:t>p</w:t>
      </w:r>
      <w:r w:rsidRPr="008D1BDE">
        <w:rPr>
          <w:sz w:val="16"/>
          <w:szCs w:val="16"/>
        </w:rPr>
        <w:t xml:space="preserve"> 164</w:t>
      </w:r>
    </w:p>
  </w:footnote>
  <w:footnote w:id="5">
    <w:p w14:paraId="780807B6" w14:textId="544AFA8C" w:rsidR="007C1F5D" w:rsidRPr="00F47FF2" w:rsidRDefault="007C1F5D">
      <w:pPr>
        <w:pStyle w:val="FootnoteText"/>
        <w:rPr>
          <w:sz w:val="16"/>
          <w:szCs w:val="16"/>
        </w:rPr>
      </w:pPr>
      <w:r w:rsidRPr="00F47FF2">
        <w:rPr>
          <w:rStyle w:val="FootnoteReference"/>
          <w:sz w:val="16"/>
          <w:szCs w:val="16"/>
        </w:rPr>
        <w:footnoteRef/>
      </w:r>
      <w:r w:rsidRPr="00F47FF2">
        <w:rPr>
          <w:sz w:val="16"/>
          <w:szCs w:val="16"/>
        </w:rPr>
        <w:t xml:space="preserve"> </w:t>
      </w:r>
      <w:proofErr w:type="spellStart"/>
      <w:r w:rsidRPr="00F47FF2">
        <w:rPr>
          <w:sz w:val="16"/>
          <w:szCs w:val="16"/>
        </w:rPr>
        <w:t>Seymann</w:t>
      </w:r>
      <w:proofErr w:type="spellEnd"/>
      <w:r w:rsidRPr="00F47FF2">
        <w:rPr>
          <w:sz w:val="16"/>
          <w:szCs w:val="16"/>
        </w:rPr>
        <w:t xml:space="preserve">, Jerrold.  </w:t>
      </w:r>
      <w:r w:rsidRPr="008D1BDE">
        <w:rPr>
          <w:i/>
          <w:iCs/>
          <w:sz w:val="16"/>
          <w:szCs w:val="16"/>
        </w:rPr>
        <w:t>Colonial Charters Patents and Grants to the Communities Comprising the City of New York</w:t>
      </w:r>
      <w:r w:rsidR="00F47FF2" w:rsidRPr="00F47FF2">
        <w:rPr>
          <w:sz w:val="16"/>
          <w:szCs w:val="16"/>
        </w:rPr>
        <w:t>, pp. 338-340</w:t>
      </w:r>
      <w:r w:rsidRPr="00F47FF2">
        <w:rPr>
          <w:sz w:val="16"/>
          <w:szCs w:val="16"/>
        </w:rPr>
        <w:t>.  New York, The Board of Statutory Consolidation of the City of New York</w:t>
      </w:r>
      <w:r w:rsidR="00F47FF2" w:rsidRPr="00F47FF2">
        <w:rPr>
          <w:sz w:val="16"/>
          <w:szCs w:val="16"/>
        </w:rPr>
        <w:t xml:space="preserve">, 1939. </w:t>
      </w:r>
    </w:p>
  </w:footnote>
  <w:footnote w:id="6">
    <w:p w14:paraId="0941BC5B" w14:textId="003FD9BF" w:rsidR="00F47FF2" w:rsidRDefault="00F47FF2">
      <w:pPr>
        <w:pStyle w:val="FootnoteText"/>
      </w:pPr>
      <w:r>
        <w:rPr>
          <w:rStyle w:val="FootnoteReference"/>
        </w:rPr>
        <w:footnoteRef/>
      </w:r>
      <w:proofErr w:type="gramStart"/>
      <w:r w:rsidRPr="00D45D80">
        <w:rPr>
          <w:sz w:val="16"/>
          <w:szCs w:val="16"/>
        </w:rPr>
        <w:t>.</w:t>
      </w:r>
      <w:r w:rsidR="00027010">
        <w:rPr>
          <w:sz w:val="16"/>
          <w:szCs w:val="16"/>
        </w:rPr>
        <w:t>Variously</w:t>
      </w:r>
      <w:proofErr w:type="gramEnd"/>
      <w:r w:rsidR="00027010">
        <w:rPr>
          <w:sz w:val="16"/>
          <w:szCs w:val="16"/>
        </w:rPr>
        <w:t xml:space="preserve"> spelled Haarlem, </w:t>
      </w:r>
      <w:proofErr w:type="spellStart"/>
      <w:r w:rsidR="00027010">
        <w:rPr>
          <w:sz w:val="16"/>
          <w:szCs w:val="16"/>
        </w:rPr>
        <w:t>Haerlem</w:t>
      </w:r>
      <w:proofErr w:type="spellEnd"/>
      <w:r w:rsidR="00027010">
        <w:rPr>
          <w:sz w:val="16"/>
          <w:szCs w:val="16"/>
        </w:rPr>
        <w:t xml:space="preserve"> and </w:t>
      </w:r>
      <w:proofErr w:type="spellStart"/>
      <w:r w:rsidR="00027010">
        <w:rPr>
          <w:sz w:val="16"/>
          <w:szCs w:val="16"/>
        </w:rPr>
        <w:t>Harlaem</w:t>
      </w:r>
      <w:proofErr w:type="spellEnd"/>
      <w:r w:rsidR="00027010">
        <w:rPr>
          <w:sz w:val="16"/>
          <w:szCs w:val="16"/>
        </w:rPr>
        <w:t xml:space="preserve">. </w:t>
      </w:r>
      <w:r w:rsidR="003A4063">
        <w:rPr>
          <w:sz w:val="16"/>
          <w:szCs w:val="16"/>
        </w:rPr>
        <w:t xml:space="preserve"> It is said that Stuyvesant chose the name to avoid rivalries because none of the settlers came from old Harlem.  But Harlem was </w:t>
      </w:r>
      <w:proofErr w:type="gramStart"/>
      <w:r w:rsidR="003A4063">
        <w:rPr>
          <w:sz w:val="16"/>
          <w:szCs w:val="16"/>
        </w:rPr>
        <w:t>also  a</w:t>
      </w:r>
      <w:proofErr w:type="gramEnd"/>
      <w:r w:rsidR="003A4063">
        <w:rPr>
          <w:sz w:val="16"/>
          <w:szCs w:val="16"/>
        </w:rPr>
        <w:t xml:space="preserve"> city honored in the Netherlands for its heroism while besieged by Spanish forces in 1672-73. (Riker, op. cit., p. 173)   </w:t>
      </w:r>
      <w:r w:rsidR="00027010">
        <w:rPr>
          <w:sz w:val="16"/>
          <w:szCs w:val="16"/>
        </w:rPr>
        <w:t xml:space="preserve"> </w:t>
      </w:r>
    </w:p>
  </w:footnote>
  <w:footnote w:id="7">
    <w:p w14:paraId="39C5C289" w14:textId="07113D46" w:rsidR="00AF4973" w:rsidRPr="007514BB" w:rsidRDefault="00AF4973">
      <w:pPr>
        <w:pStyle w:val="FootnoteText"/>
        <w:rPr>
          <w:sz w:val="16"/>
          <w:szCs w:val="16"/>
        </w:rPr>
      </w:pPr>
      <w:r w:rsidRPr="007514BB">
        <w:rPr>
          <w:rStyle w:val="FootnoteReference"/>
          <w:sz w:val="16"/>
          <w:szCs w:val="16"/>
        </w:rPr>
        <w:footnoteRef/>
      </w:r>
      <w:r w:rsidRPr="007514BB">
        <w:rPr>
          <w:sz w:val="16"/>
          <w:szCs w:val="16"/>
        </w:rPr>
        <w:t xml:space="preserve"> Its site is now covered by the </w:t>
      </w:r>
      <w:r>
        <w:rPr>
          <w:sz w:val="16"/>
          <w:szCs w:val="16"/>
        </w:rPr>
        <w:t xml:space="preserve">Manhattan </w:t>
      </w:r>
      <w:r w:rsidRPr="007514BB">
        <w:rPr>
          <w:sz w:val="16"/>
          <w:szCs w:val="16"/>
        </w:rPr>
        <w:t xml:space="preserve">approaches to the </w:t>
      </w:r>
      <w:proofErr w:type="spellStart"/>
      <w:r w:rsidRPr="007514BB">
        <w:rPr>
          <w:sz w:val="16"/>
          <w:szCs w:val="16"/>
        </w:rPr>
        <w:t>Triborough</w:t>
      </w:r>
      <w:proofErr w:type="spellEnd"/>
      <w:r w:rsidRPr="007514BB">
        <w:rPr>
          <w:sz w:val="16"/>
          <w:szCs w:val="16"/>
        </w:rPr>
        <w:t xml:space="preserve"> Bridge.  (Riker</w:t>
      </w:r>
      <w:r w:rsidR="00027010" w:rsidRPr="00027010">
        <w:rPr>
          <w:i/>
          <w:iCs/>
          <w:sz w:val="16"/>
          <w:szCs w:val="16"/>
        </w:rPr>
        <w:t>, op. cit</w:t>
      </w:r>
      <w:r w:rsidR="00027010">
        <w:rPr>
          <w:sz w:val="16"/>
          <w:szCs w:val="16"/>
        </w:rPr>
        <w:t xml:space="preserve">. </w:t>
      </w:r>
      <w:r w:rsidRPr="007514BB">
        <w:rPr>
          <w:sz w:val="16"/>
          <w:szCs w:val="16"/>
        </w:rPr>
        <w:t xml:space="preserve"> </w:t>
      </w:r>
      <w:proofErr w:type="spellStart"/>
      <w:r w:rsidRPr="007514BB">
        <w:rPr>
          <w:sz w:val="16"/>
          <w:szCs w:val="16"/>
        </w:rPr>
        <w:t>Map.</w:t>
      </w:r>
      <w:r w:rsidR="008D1BDE">
        <w:rPr>
          <w:sz w:val="16"/>
          <w:szCs w:val="16"/>
        </w:rPr>
        <w:t>on</w:t>
      </w:r>
      <w:proofErr w:type="spellEnd"/>
      <w:r w:rsidRPr="007514BB">
        <w:rPr>
          <w:sz w:val="16"/>
          <w:szCs w:val="16"/>
        </w:rPr>
        <w:t xml:space="preserve"> p. 832)</w:t>
      </w:r>
    </w:p>
  </w:footnote>
  <w:footnote w:id="8">
    <w:p w14:paraId="0CF21BC2" w14:textId="783E4530" w:rsidR="00AF4973" w:rsidRDefault="00AF4973">
      <w:pPr>
        <w:pStyle w:val="FootnoteText"/>
      </w:pPr>
      <w:r>
        <w:rPr>
          <w:rStyle w:val="FootnoteReference"/>
        </w:rPr>
        <w:footnoteRef/>
      </w:r>
      <w:r w:rsidRPr="00BD0D77">
        <w:rPr>
          <w:sz w:val="16"/>
          <w:szCs w:val="16"/>
        </w:rPr>
        <w:t>Nicolls initially decreed that the new town be known as Lancaster</w:t>
      </w:r>
      <w:r>
        <w:rPr>
          <w:sz w:val="16"/>
          <w:szCs w:val="16"/>
        </w:rPr>
        <w:t xml:space="preserve">, but the </w:t>
      </w:r>
      <w:r w:rsidR="007C1F5D">
        <w:rPr>
          <w:sz w:val="16"/>
          <w:szCs w:val="16"/>
        </w:rPr>
        <w:t>inhabitant</w:t>
      </w:r>
      <w:r w:rsidR="00D45D80">
        <w:rPr>
          <w:sz w:val="16"/>
          <w:szCs w:val="16"/>
        </w:rPr>
        <w:t xml:space="preserve"> ignored</w:t>
      </w:r>
      <w:r w:rsidR="00676A2F">
        <w:rPr>
          <w:sz w:val="16"/>
          <w:szCs w:val="16"/>
        </w:rPr>
        <w:t xml:space="preserve"> this directive</w:t>
      </w:r>
      <w:r>
        <w:rPr>
          <w:sz w:val="16"/>
          <w:szCs w:val="16"/>
        </w:rPr>
        <w:t xml:space="preserve"> and </w:t>
      </w:r>
      <w:r w:rsidR="00676A2F">
        <w:rPr>
          <w:sz w:val="16"/>
          <w:szCs w:val="16"/>
        </w:rPr>
        <w:t>Nicolls</w:t>
      </w:r>
      <w:r>
        <w:rPr>
          <w:sz w:val="16"/>
          <w:szCs w:val="16"/>
        </w:rPr>
        <w:t xml:space="preserve"> </w:t>
      </w:r>
      <w:r w:rsidR="00D45D80">
        <w:rPr>
          <w:sz w:val="16"/>
          <w:szCs w:val="16"/>
        </w:rPr>
        <w:t>did not include</w:t>
      </w:r>
      <w:r>
        <w:rPr>
          <w:sz w:val="16"/>
          <w:szCs w:val="16"/>
        </w:rPr>
        <w:t xml:space="preserve"> the renaming in his revised charter.</w:t>
      </w:r>
    </w:p>
  </w:footnote>
  <w:footnote w:id="9">
    <w:p w14:paraId="595A59FA" w14:textId="6B42E568" w:rsidR="00783D01" w:rsidRPr="00783D01" w:rsidRDefault="00F47FF2">
      <w:pPr>
        <w:pStyle w:val="FootnoteText"/>
        <w:rPr>
          <w:sz w:val="16"/>
          <w:szCs w:val="16"/>
        </w:rPr>
      </w:pPr>
      <w:r w:rsidRPr="00783D01">
        <w:rPr>
          <w:rStyle w:val="FootnoteReference"/>
          <w:sz w:val="16"/>
          <w:szCs w:val="16"/>
        </w:rPr>
        <w:footnoteRef/>
      </w:r>
      <w:r w:rsidRPr="00783D01">
        <w:rPr>
          <w:sz w:val="16"/>
          <w:szCs w:val="16"/>
        </w:rPr>
        <w:t xml:space="preserve"> </w:t>
      </w:r>
      <w:proofErr w:type="spellStart"/>
      <w:r w:rsidRPr="00783D01">
        <w:rPr>
          <w:sz w:val="16"/>
          <w:szCs w:val="16"/>
        </w:rPr>
        <w:t>Seymann</w:t>
      </w:r>
      <w:proofErr w:type="spellEnd"/>
      <w:r w:rsidR="00EB660F" w:rsidRPr="00EB660F">
        <w:rPr>
          <w:i/>
          <w:iCs/>
          <w:sz w:val="16"/>
          <w:szCs w:val="16"/>
        </w:rPr>
        <w:t>, i</w:t>
      </w:r>
      <w:r w:rsidRPr="00783D01">
        <w:rPr>
          <w:i/>
          <w:iCs/>
          <w:sz w:val="16"/>
          <w:szCs w:val="16"/>
        </w:rPr>
        <w:t>bid</w:t>
      </w:r>
      <w:r w:rsidRPr="00783D01">
        <w:rPr>
          <w:sz w:val="16"/>
          <w:szCs w:val="16"/>
        </w:rPr>
        <w:t>. pp 340-41.</w:t>
      </w:r>
      <w:r w:rsidR="005B70EE">
        <w:rPr>
          <w:sz w:val="16"/>
          <w:szCs w:val="16"/>
        </w:rPr>
        <w:t xml:space="preserve">  Although styled a “town,” New Harlem was not a town as that term was later understood in New York</w:t>
      </w:r>
      <w:r w:rsidR="00E92AC5">
        <w:rPr>
          <w:sz w:val="16"/>
          <w:szCs w:val="16"/>
        </w:rPr>
        <w:t xml:space="preserve">, </w:t>
      </w:r>
      <w:proofErr w:type="gramStart"/>
      <w:r w:rsidR="00E92AC5">
        <w:rPr>
          <w:sz w:val="16"/>
          <w:szCs w:val="16"/>
        </w:rPr>
        <w:t>i.e.</w:t>
      </w:r>
      <w:proofErr w:type="gramEnd"/>
      <w:r w:rsidR="00E92AC5">
        <w:rPr>
          <w:sz w:val="16"/>
          <w:szCs w:val="16"/>
        </w:rPr>
        <w:t xml:space="preserve"> as the principal political subdivision of a county.  A county may also include an incorporated city, which is not within any town; or an incorporated village, which is within and subordinate to a town.  New Harlem was entirely within and subordinate to the City of New York.  It’s status in modern terms was somewhere between an incorporated village and a very powerful homeowners’ association. </w:t>
      </w:r>
    </w:p>
  </w:footnote>
  <w:footnote w:id="10">
    <w:p w14:paraId="2828B689" w14:textId="6C9660E3" w:rsidR="00AF4973" w:rsidRPr="00512BEA" w:rsidRDefault="00AF4973">
      <w:pPr>
        <w:pStyle w:val="FootnoteText"/>
        <w:rPr>
          <w:sz w:val="16"/>
          <w:szCs w:val="16"/>
        </w:rPr>
      </w:pPr>
      <w:r w:rsidRPr="00512BEA">
        <w:rPr>
          <w:rStyle w:val="FootnoteReference"/>
          <w:sz w:val="16"/>
          <w:szCs w:val="16"/>
        </w:rPr>
        <w:footnoteRef/>
      </w:r>
      <w:r w:rsidRPr="00512BEA">
        <w:rPr>
          <w:sz w:val="16"/>
          <w:szCs w:val="16"/>
        </w:rPr>
        <w:t xml:space="preserve"> </w:t>
      </w:r>
      <w:proofErr w:type="spellStart"/>
      <w:r w:rsidR="00783D01">
        <w:rPr>
          <w:sz w:val="16"/>
          <w:szCs w:val="16"/>
        </w:rPr>
        <w:t>Seymann</w:t>
      </w:r>
      <w:proofErr w:type="spellEnd"/>
      <w:r w:rsidR="00783D01">
        <w:rPr>
          <w:sz w:val="16"/>
          <w:szCs w:val="16"/>
        </w:rPr>
        <w:t xml:space="preserve">, </w:t>
      </w:r>
      <w:r w:rsidR="00EB660F">
        <w:rPr>
          <w:i/>
          <w:iCs/>
          <w:sz w:val="16"/>
          <w:szCs w:val="16"/>
        </w:rPr>
        <w:t>i</w:t>
      </w:r>
      <w:r w:rsidR="00783D01" w:rsidRPr="00783D01">
        <w:rPr>
          <w:i/>
          <w:iCs/>
          <w:sz w:val="16"/>
          <w:szCs w:val="16"/>
        </w:rPr>
        <w:t>bid.</w:t>
      </w:r>
      <w:r w:rsidR="00783D01">
        <w:rPr>
          <w:sz w:val="16"/>
          <w:szCs w:val="16"/>
        </w:rPr>
        <w:t xml:space="preserve"> pp. 341-343.  </w:t>
      </w:r>
      <w:r w:rsidRPr="00512BEA">
        <w:rPr>
          <w:sz w:val="16"/>
          <w:szCs w:val="16"/>
        </w:rPr>
        <w:t xml:space="preserve">Litigation over the distribution </w:t>
      </w:r>
      <w:r>
        <w:rPr>
          <w:sz w:val="16"/>
          <w:szCs w:val="16"/>
        </w:rPr>
        <w:t xml:space="preserve">of </w:t>
      </w:r>
      <w:r w:rsidRPr="00512BEA">
        <w:rPr>
          <w:sz w:val="16"/>
          <w:szCs w:val="16"/>
        </w:rPr>
        <w:t xml:space="preserve">this land lasted into the 1880s. </w:t>
      </w:r>
    </w:p>
  </w:footnote>
  <w:footnote w:id="11">
    <w:p w14:paraId="6ADDD912" w14:textId="78AC5E98" w:rsidR="00AF4973" w:rsidRPr="00512BEA" w:rsidRDefault="00AF4973">
      <w:pPr>
        <w:pStyle w:val="FootnoteText"/>
        <w:rPr>
          <w:sz w:val="16"/>
          <w:szCs w:val="16"/>
        </w:rPr>
      </w:pPr>
      <w:r w:rsidRPr="00512BEA">
        <w:rPr>
          <w:rStyle w:val="FootnoteReference"/>
          <w:sz w:val="16"/>
          <w:szCs w:val="16"/>
        </w:rPr>
        <w:footnoteRef/>
      </w:r>
      <w:r w:rsidRPr="00512BEA">
        <w:rPr>
          <w:sz w:val="16"/>
          <w:szCs w:val="16"/>
        </w:rPr>
        <w:t xml:space="preserve"> The original document is dated October 11, 1666</w:t>
      </w:r>
      <w:r>
        <w:rPr>
          <w:sz w:val="16"/>
          <w:szCs w:val="16"/>
        </w:rPr>
        <w:t>, b</w:t>
      </w:r>
      <w:r w:rsidRPr="00512BEA">
        <w:rPr>
          <w:sz w:val="16"/>
          <w:szCs w:val="16"/>
        </w:rPr>
        <w:t>ut related records indicate that this was a</w:t>
      </w:r>
      <w:r w:rsidR="00722DD2">
        <w:rPr>
          <w:sz w:val="16"/>
          <w:szCs w:val="16"/>
        </w:rPr>
        <w:t xml:space="preserve">n </w:t>
      </w:r>
      <w:r w:rsidRPr="00512BEA">
        <w:rPr>
          <w:sz w:val="16"/>
          <w:szCs w:val="16"/>
        </w:rPr>
        <w:t>erro</w:t>
      </w:r>
      <w:r w:rsidR="00722DD2">
        <w:rPr>
          <w:sz w:val="16"/>
          <w:szCs w:val="16"/>
        </w:rPr>
        <w:t>neous later insertion</w:t>
      </w:r>
      <w:r w:rsidRPr="00512BEA">
        <w:rPr>
          <w:sz w:val="16"/>
          <w:szCs w:val="16"/>
        </w:rPr>
        <w:t xml:space="preserve"> </w:t>
      </w:r>
      <w:r w:rsidR="00722DD2">
        <w:rPr>
          <w:sz w:val="16"/>
          <w:szCs w:val="16"/>
        </w:rPr>
        <w:t>(</w:t>
      </w:r>
      <w:proofErr w:type="spellStart"/>
      <w:r w:rsidR="00722DD2">
        <w:rPr>
          <w:sz w:val="16"/>
          <w:szCs w:val="16"/>
        </w:rPr>
        <w:t>Seymann</w:t>
      </w:r>
      <w:proofErr w:type="spellEnd"/>
      <w:r w:rsidR="00722DD2">
        <w:rPr>
          <w:sz w:val="16"/>
          <w:szCs w:val="16"/>
        </w:rPr>
        <w:t>, op. cit., p. 347n).</w:t>
      </w:r>
      <w:r w:rsidRPr="00512BEA">
        <w:rPr>
          <w:sz w:val="16"/>
          <w:szCs w:val="16"/>
        </w:rPr>
        <w:t xml:space="preserve"> </w:t>
      </w:r>
    </w:p>
  </w:footnote>
  <w:footnote w:id="12">
    <w:p w14:paraId="05E20570" w14:textId="2844D8D3" w:rsidR="00783D01" w:rsidRDefault="00783D01">
      <w:pPr>
        <w:pStyle w:val="FootnoteText"/>
      </w:pPr>
      <w:r w:rsidRPr="00783D01">
        <w:rPr>
          <w:rStyle w:val="FootnoteReference"/>
          <w:sz w:val="16"/>
          <w:szCs w:val="16"/>
        </w:rPr>
        <w:footnoteRef/>
      </w:r>
      <w:r>
        <w:t xml:space="preserve"> </w:t>
      </w:r>
      <w:proofErr w:type="spellStart"/>
      <w:r w:rsidRPr="00783D01">
        <w:rPr>
          <w:sz w:val="16"/>
          <w:szCs w:val="16"/>
        </w:rPr>
        <w:t>Seymann</w:t>
      </w:r>
      <w:proofErr w:type="spellEnd"/>
      <w:r w:rsidRPr="00783D01">
        <w:rPr>
          <w:sz w:val="16"/>
          <w:szCs w:val="16"/>
        </w:rPr>
        <w:t xml:space="preserve">, </w:t>
      </w:r>
      <w:r w:rsidR="002531D0">
        <w:rPr>
          <w:i/>
          <w:iCs/>
          <w:sz w:val="16"/>
          <w:szCs w:val="16"/>
        </w:rPr>
        <w:t>op. cit</w:t>
      </w:r>
      <w:r w:rsidRPr="00783D01">
        <w:rPr>
          <w:sz w:val="16"/>
          <w:szCs w:val="16"/>
        </w:rPr>
        <w:t>.</w:t>
      </w:r>
      <w:r w:rsidR="002531D0">
        <w:rPr>
          <w:sz w:val="16"/>
          <w:szCs w:val="16"/>
        </w:rPr>
        <w:t>,</w:t>
      </w:r>
      <w:r w:rsidRPr="00783D01">
        <w:rPr>
          <w:sz w:val="16"/>
          <w:szCs w:val="16"/>
        </w:rPr>
        <w:t xml:space="preserve"> pp 343-347.</w:t>
      </w:r>
    </w:p>
  </w:footnote>
  <w:footnote w:id="13">
    <w:p w14:paraId="2D3ABD9A" w14:textId="041B7DFD" w:rsidR="00783D01" w:rsidRDefault="00783D01">
      <w:pPr>
        <w:pStyle w:val="FootnoteText"/>
      </w:pPr>
      <w:r w:rsidRPr="00783D01">
        <w:rPr>
          <w:rStyle w:val="FootnoteReference"/>
          <w:sz w:val="16"/>
          <w:szCs w:val="16"/>
        </w:rPr>
        <w:footnoteRef/>
      </w:r>
      <w:r w:rsidRPr="00783D01">
        <w:rPr>
          <w:sz w:val="16"/>
          <w:szCs w:val="16"/>
        </w:rPr>
        <w:t xml:space="preserve"> Stokes</w:t>
      </w:r>
      <w:r w:rsidR="0021637B">
        <w:rPr>
          <w:i/>
          <w:iCs/>
          <w:sz w:val="16"/>
          <w:szCs w:val="16"/>
        </w:rPr>
        <w:t>,</w:t>
      </w:r>
      <w:r w:rsidR="003B0EA0" w:rsidRPr="007C1F5D">
        <w:rPr>
          <w:sz w:val="16"/>
          <w:szCs w:val="16"/>
        </w:rPr>
        <w:t xml:space="preserve"> I.N. Phelps.  </w:t>
      </w:r>
      <w:r w:rsidR="003B0EA0" w:rsidRPr="009A0A7A">
        <w:rPr>
          <w:i/>
          <w:iCs/>
          <w:sz w:val="16"/>
          <w:szCs w:val="16"/>
        </w:rPr>
        <w:t>The Iconography of Manhattan Island</w:t>
      </w:r>
      <w:r w:rsidR="003B0EA0" w:rsidRPr="007C1F5D">
        <w:rPr>
          <w:sz w:val="16"/>
          <w:szCs w:val="16"/>
        </w:rPr>
        <w:t>.  New York, Robert H. Dodd, 1922</w:t>
      </w:r>
      <w:r w:rsidR="003B0EA0">
        <w:rPr>
          <w:sz w:val="16"/>
          <w:szCs w:val="16"/>
        </w:rPr>
        <w:t xml:space="preserve">, </w:t>
      </w:r>
      <w:r w:rsidR="003B0EA0" w:rsidRPr="00783D01">
        <w:rPr>
          <w:sz w:val="16"/>
          <w:szCs w:val="16"/>
        </w:rPr>
        <w:t xml:space="preserve">Vol </w:t>
      </w:r>
      <w:r w:rsidR="003B0EA0">
        <w:rPr>
          <w:sz w:val="16"/>
          <w:szCs w:val="16"/>
        </w:rPr>
        <w:t>VI, p.</w:t>
      </w:r>
      <w:r w:rsidR="003B0EA0" w:rsidRPr="00783D01">
        <w:rPr>
          <w:sz w:val="16"/>
          <w:szCs w:val="16"/>
        </w:rPr>
        <w:t xml:space="preserve"> 125</w:t>
      </w:r>
      <w:r w:rsidR="003B0EA0">
        <w:rPr>
          <w:sz w:val="16"/>
          <w:szCs w:val="16"/>
        </w:rPr>
        <w:t>.</w:t>
      </w:r>
    </w:p>
  </w:footnote>
  <w:footnote w:id="14">
    <w:p w14:paraId="07683002" w14:textId="5ED95F13" w:rsidR="00AF4973" w:rsidRPr="00512BEA" w:rsidRDefault="00AF4973">
      <w:pPr>
        <w:pStyle w:val="FootnoteText"/>
        <w:rPr>
          <w:sz w:val="16"/>
          <w:szCs w:val="16"/>
        </w:rPr>
      </w:pPr>
      <w:r w:rsidRPr="00512BEA">
        <w:rPr>
          <w:rStyle w:val="FootnoteReference"/>
          <w:sz w:val="16"/>
          <w:szCs w:val="16"/>
        </w:rPr>
        <w:footnoteRef/>
      </w:r>
      <w:r w:rsidRPr="00512BEA">
        <w:rPr>
          <w:sz w:val="16"/>
          <w:szCs w:val="16"/>
        </w:rPr>
        <w:t xml:space="preserve"> Prior to 1639</w:t>
      </w:r>
      <w:r w:rsidR="00EB660F">
        <w:rPr>
          <w:sz w:val="16"/>
          <w:szCs w:val="16"/>
        </w:rPr>
        <w:t xml:space="preserve">, a </w:t>
      </w:r>
      <w:r w:rsidR="007A7539">
        <w:rPr>
          <w:sz w:val="16"/>
          <w:szCs w:val="16"/>
        </w:rPr>
        <w:t>small tract</w:t>
      </w:r>
      <w:r w:rsidRPr="00512BEA">
        <w:rPr>
          <w:sz w:val="16"/>
          <w:szCs w:val="16"/>
        </w:rPr>
        <w:t xml:space="preserve"> on the north side of the Great Kill had been granted to Jan Cornelissen van Rotterdam.  However, he was killed in an Indian attack in 1643 and the grant later reverted to the Dutch </w:t>
      </w:r>
      <w:r w:rsidR="007A7539">
        <w:rPr>
          <w:sz w:val="16"/>
          <w:szCs w:val="16"/>
        </w:rPr>
        <w:t>administration</w:t>
      </w:r>
      <w:r w:rsidRPr="00512BEA">
        <w:rPr>
          <w:sz w:val="16"/>
          <w:szCs w:val="16"/>
        </w:rPr>
        <w:t>. (Stoke</w:t>
      </w:r>
      <w:r>
        <w:rPr>
          <w:sz w:val="16"/>
          <w:szCs w:val="16"/>
        </w:rPr>
        <w:t>s</w:t>
      </w:r>
      <w:r w:rsidR="008D1BDE">
        <w:rPr>
          <w:sz w:val="16"/>
          <w:szCs w:val="16"/>
        </w:rPr>
        <w:t xml:space="preserve">, </w:t>
      </w:r>
      <w:r w:rsidR="008D1BDE" w:rsidRPr="00C95690">
        <w:rPr>
          <w:i/>
          <w:iCs/>
          <w:sz w:val="16"/>
          <w:szCs w:val="16"/>
        </w:rPr>
        <w:t>op. cit</w:t>
      </w:r>
      <w:r w:rsidR="00783D01">
        <w:rPr>
          <w:sz w:val="16"/>
          <w:szCs w:val="16"/>
        </w:rPr>
        <w:t>. Vol 2</w:t>
      </w:r>
      <w:r w:rsidR="00934423">
        <w:rPr>
          <w:sz w:val="16"/>
          <w:szCs w:val="16"/>
        </w:rPr>
        <w:t>, p. 192)</w:t>
      </w:r>
    </w:p>
  </w:footnote>
  <w:footnote w:id="15">
    <w:p w14:paraId="1A90324E" w14:textId="62ACC4BC" w:rsidR="0021637B" w:rsidRPr="00C95690" w:rsidRDefault="0021637B">
      <w:pPr>
        <w:pStyle w:val="FootnoteText"/>
        <w:rPr>
          <w:sz w:val="16"/>
          <w:szCs w:val="16"/>
        </w:rPr>
      </w:pPr>
      <w:r w:rsidRPr="00C95690">
        <w:rPr>
          <w:rStyle w:val="FootnoteReference"/>
          <w:sz w:val="16"/>
          <w:szCs w:val="16"/>
        </w:rPr>
        <w:footnoteRef/>
      </w:r>
      <w:r w:rsidRPr="00C95690">
        <w:rPr>
          <w:sz w:val="16"/>
          <w:szCs w:val="16"/>
        </w:rPr>
        <w:t xml:space="preserve"> Stokes, </w:t>
      </w:r>
      <w:r w:rsidRPr="00C95690">
        <w:rPr>
          <w:i/>
          <w:iCs/>
          <w:sz w:val="16"/>
          <w:szCs w:val="16"/>
        </w:rPr>
        <w:t>op. cit</w:t>
      </w:r>
      <w:r w:rsidRPr="00C95690">
        <w:rPr>
          <w:sz w:val="16"/>
          <w:szCs w:val="16"/>
        </w:rPr>
        <w:t>. Vol 5, p. 125</w:t>
      </w:r>
    </w:p>
  </w:footnote>
  <w:footnote w:id="16">
    <w:p w14:paraId="25C1BB4A" w14:textId="42046260" w:rsidR="00AF4973" w:rsidRDefault="00AF4973" w:rsidP="00EB660F">
      <w:pPr>
        <w:spacing w:after="0" w:line="240" w:lineRule="auto"/>
        <w:contextualSpacing/>
      </w:pPr>
      <w:r w:rsidRPr="00512BEA">
        <w:rPr>
          <w:rStyle w:val="FootnoteReference"/>
          <w:sz w:val="16"/>
          <w:szCs w:val="16"/>
        </w:rPr>
        <w:footnoteRef/>
      </w:r>
      <w:r w:rsidRPr="00512BEA">
        <w:rPr>
          <w:sz w:val="16"/>
          <w:szCs w:val="16"/>
        </w:rPr>
        <w:t xml:space="preserve"> </w:t>
      </w:r>
      <w:proofErr w:type="spellStart"/>
      <w:r w:rsidR="00F2115F">
        <w:rPr>
          <w:sz w:val="16"/>
          <w:szCs w:val="16"/>
        </w:rPr>
        <w:t>Salwen</w:t>
      </w:r>
      <w:proofErr w:type="spellEnd"/>
      <w:r w:rsidR="00F2115F">
        <w:rPr>
          <w:sz w:val="16"/>
          <w:szCs w:val="16"/>
        </w:rPr>
        <w:t xml:space="preserve">, Peter. </w:t>
      </w:r>
      <w:r w:rsidR="00F2115F" w:rsidRPr="00EB660F">
        <w:rPr>
          <w:i/>
          <w:iCs/>
          <w:sz w:val="16"/>
          <w:szCs w:val="16"/>
        </w:rPr>
        <w:t>Upper West Side Story: A History and Guide</w:t>
      </w:r>
      <w:r w:rsidR="00F2115F">
        <w:rPr>
          <w:sz w:val="16"/>
          <w:szCs w:val="16"/>
        </w:rPr>
        <w:t>.  New York, Abbeville Press, 1989, p. 15.</w:t>
      </w:r>
    </w:p>
  </w:footnote>
  <w:footnote w:id="17">
    <w:p w14:paraId="3DD32443" w14:textId="42BED606" w:rsidR="00F2115F" w:rsidRPr="00934FF8" w:rsidRDefault="00F2115F">
      <w:pPr>
        <w:pStyle w:val="FootnoteText"/>
        <w:rPr>
          <w:sz w:val="16"/>
          <w:szCs w:val="16"/>
        </w:rPr>
      </w:pPr>
      <w:r w:rsidRPr="00934FF8">
        <w:rPr>
          <w:rStyle w:val="FootnoteReference"/>
          <w:sz w:val="16"/>
          <w:szCs w:val="16"/>
        </w:rPr>
        <w:footnoteRef/>
      </w:r>
      <w:r w:rsidRPr="00934FF8">
        <w:rPr>
          <w:sz w:val="16"/>
          <w:szCs w:val="16"/>
        </w:rPr>
        <w:t xml:space="preserve"> </w:t>
      </w:r>
      <w:r w:rsidR="00934FF8" w:rsidRPr="00934FF8">
        <w:rPr>
          <w:sz w:val="16"/>
          <w:szCs w:val="16"/>
        </w:rPr>
        <w:t>S</w:t>
      </w:r>
      <w:r w:rsidRPr="00934FF8">
        <w:rPr>
          <w:sz w:val="16"/>
          <w:szCs w:val="16"/>
        </w:rPr>
        <w:t>tokes</w:t>
      </w:r>
      <w:r w:rsidR="00EB660F" w:rsidRPr="00EB660F">
        <w:rPr>
          <w:i/>
          <w:iCs/>
          <w:sz w:val="16"/>
          <w:szCs w:val="16"/>
        </w:rPr>
        <w:t>,</w:t>
      </w:r>
      <w:r w:rsidRPr="00EB660F">
        <w:rPr>
          <w:i/>
          <w:iCs/>
          <w:sz w:val="16"/>
          <w:szCs w:val="16"/>
        </w:rPr>
        <w:t xml:space="preserve"> </w:t>
      </w:r>
      <w:r w:rsidR="00B5390F">
        <w:rPr>
          <w:i/>
          <w:iCs/>
          <w:sz w:val="16"/>
          <w:szCs w:val="16"/>
        </w:rPr>
        <w:t>op</w:t>
      </w:r>
      <w:r w:rsidRPr="00934FF8">
        <w:rPr>
          <w:sz w:val="16"/>
          <w:szCs w:val="16"/>
        </w:rPr>
        <w:t xml:space="preserve">. </w:t>
      </w:r>
      <w:r w:rsidR="00B5390F">
        <w:rPr>
          <w:sz w:val="16"/>
          <w:szCs w:val="16"/>
        </w:rPr>
        <w:t xml:space="preserve">cit. </w:t>
      </w:r>
      <w:r w:rsidRPr="00934FF8">
        <w:rPr>
          <w:sz w:val="16"/>
          <w:szCs w:val="16"/>
        </w:rPr>
        <w:t>Chronology Feb. 2, 1655.</w:t>
      </w:r>
    </w:p>
  </w:footnote>
  <w:footnote w:id="18">
    <w:p w14:paraId="6FE27ED4" w14:textId="4D0AF061" w:rsidR="00934FF8" w:rsidRPr="00934FF8" w:rsidRDefault="00934FF8">
      <w:pPr>
        <w:pStyle w:val="FootnoteText"/>
        <w:rPr>
          <w:sz w:val="16"/>
          <w:szCs w:val="16"/>
        </w:rPr>
      </w:pPr>
      <w:r w:rsidRPr="00934FF8">
        <w:rPr>
          <w:rStyle w:val="FootnoteReference"/>
          <w:sz w:val="16"/>
          <w:szCs w:val="16"/>
        </w:rPr>
        <w:footnoteRef/>
      </w:r>
      <w:r w:rsidRPr="00934FF8">
        <w:rPr>
          <w:sz w:val="16"/>
          <w:szCs w:val="16"/>
        </w:rPr>
        <w:t xml:space="preserve"> Stokes</w:t>
      </w:r>
      <w:r w:rsidR="00EB660F">
        <w:rPr>
          <w:sz w:val="16"/>
          <w:szCs w:val="16"/>
        </w:rPr>
        <w:t>,</w:t>
      </w:r>
      <w:r w:rsidRPr="00934FF8">
        <w:rPr>
          <w:sz w:val="16"/>
          <w:szCs w:val="16"/>
        </w:rPr>
        <w:t xml:space="preserve"> </w:t>
      </w:r>
      <w:r w:rsidR="0027294F">
        <w:rPr>
          <w:i/>
          <w:iCs/>
          <w:sz w:val="16"/>
          <w:szCs w:val="16"/>
        </w:rPr>
        <w:t>op. cit.</w:t>
      </w:r>
      <w:r w:rsidRPr="00934FF8">
        <w:rPr>
          <w:sz w:val="16"/>
          <w:szCs w:val="16"/>
        </w:rPr>
        <w:t xml:space="preserve"> Chronology June 21, 1651</w:t>
      </w:r>
    </w:p>
  </w:footnote>
  <w:footnote w:id="19">
    <w:p w14:paraId="071E137A" w14:textId="26782C8F" w:rsidR="00934FF8" w:rsidRPr="00934FF8" w:rsidRDefault="00934FF8">
      <w:pPr>
        <w:pStyle w:val="FootnoteText"/>
        <w:rPr>
          <w:sz w:val="16"/>
          <w:szCs w:val="16"/>
        </w:rPr>
      </w:pPr>
      <w:r w:rsidRPr="00934FF8">
        <w:rPr>
          <w:rStyle w:val="FootnoteReference"/>
          <w:sz w:val="16"/>
          <w:szCs w:val="16"/>
        </w:rPr>
        <w:footnoteRef/>
      </w:r>
      <w:r w:rsidRPr="00934FF8">
        <w:rPr>
          <w:sz w:val="16"/>
          <w:szCs w:val="16"/>
        </w:rPr>
        <w:t xml:space="preserve"> Stokes</w:t>
      </w:r>
      <w:r w:rsidR="00EB660F">
        <w:rPr>
          <w:i/>
          <w:iCs/>
          <w:sz w:val="16"/>
          <w:szCs w:val="16"/>
        </w:rPr>
        <w:t>,</w:t>
      </w:r>
      <w:r w:rsidRPr="00E57FD1">
        <w:rPr>
          <w:i/>
          <w:iCs/>
          <w:sz w:val="16"/>
          <w:szCs w:val="16"/>
        </w:rPr>
        <w:t xml:space="preserve"> </w:t>
      </w:r>
      <w:r w:rsidR="0027294F">
        <w:rPr>
          <w:i/>
          <w:iCs/>
          <w:sz w:val="16"/>
          <w:szCs w:val="16"/>
        </w:rPr>
        <w:t>op. cit.</w:t>
      </w:r>
      <w:r w:rsidRPr="00934FF8">
        <w:rPr>
          <w:sz w:val="16"/>
          <w:szCs w:val="16"/>
        </w:rPr>
        <w:t xml:space="preserve"> Vol II, pp. 222-223.</w:t>
      </w:r>
    </w:p>
  </w:footnote>
  <w:footnote w:id="20">
    <w:p w14:paraId="7C4AE77F" w14:textId="21AF99DC" w:rsidR="00934FF8" w:rsidRPr="00934FF8" w:rsidRDefault="00934FF8">
      <w:pPr>
        <w:pStyle w:val="FootnoteText"/>
        <w:rPr>
          <w:sz w:val="16"/>
          <w:szCs w:val="16"/>
        </w:rPr>
      </w:pPr>
      <w:r w:rsidRPr="00934FF8">
        <w:rPr>
          <w:rStyle w:val="FootnoteReference"/>
          <w:sz w:val="16"/>
          <w:szCs w:val="16"/>
        </w:rPr>
        <w:footnoteRef/>
      </w:r>
      <w:r w:rsidRPr="00934FF8">
        <w:rPr>
          <w:sz w:val="16"/>
          <w:szCs w:val="16"/>
        </w:rPr>
        <w:t xml:space="preserve"> Stokes, </w:t>
      </w:r>
      <w:r w:rsidR="0027294F">
        <w:rPr>
          <w:i/>
          <w:iCs/>
          <w:sz w:val="16"/>
          <w:szCs w:val="16"/>
        </w:rPr>
        <w:t>op. cit.</w:t>
      </w:r>
      <w:r w:rsidRPr="00934FF8">
        <w:rPr>
          <w:sz w:val="16"/>
          <w:szCs w:val="16"/>
        </w:rPr>
        <w:t xml:space="preserve"> Vol VI, p. 106.</w:t>
      </w:r>
    </w:p>
  </w:footnote>
  <w:footnote w:id="21">
    <w:p w14:paraId="0D2B88C3" w14:textId="4F8F5D6D" w:rsidR="00E57FD1" w:rsidRPr="00E57FD1" w:rsidRDefault="00E57FD1">
      <w:pPr>
        <w:pStyle w:val="FootnoteText"/>
        <w:rPr>
          <w:sz w:val="16"/>
          <w:szCs w:val="16"/>
        </w:rPr>
      </w:pPr>
      <w:r w:rsidRPr="00E57FD1">
        <w:rPr>
          <w:rStyle w:val="FootnoteReference"/>
          <w:sz w:val="16"/>
          <w:szCs w:val="16"/>
        </w:rPr>
        <w:footnoteRef/>
      </w:r>
      <w:r w:rsidRPr="00E57FD1">
        <w:rPr>
          <w:sz w:val="16"/>
          <w:szCs w:val="16"/>
        </w:rPr>
        <w:t xml:space="preserve"> The lot locations are shown on a series of maps in Stokes, Vol</w:t>
      </w:r>
      <w:r w:rsidR="00B5390F">
        <w:rPr>
          <w:sz w:val="16"/>
          <w:szCs w:val="16"/>
        </w:rPr>
        <w:t>. VI</w:t>
      </w:r>
      <w:r w:rsidR="00EB660F">
        <w:rPr>
          <w:sz w:val="16"/>
          <w:szCs w:val="16"/>
        </w:rPr>
        <w:t>, which are the basis for the map on the preceding page.</w:t>
      </w:r>
    </w:p>
  </w:footnote>
  <w:footnote w:id="22">
    <w:p w14:paraId="07E56D0C" w14:textId="77777777" w:rsidR="0021637B" w:rsidRPr="00B4428C" w:rsidRDefault="0021637B" w:rsidP="0021637B">
      <w:pPr>
        <w:pStyle w:val="FootnoteText"/>
        <w:rPr>
          <w:sz w:val="16"/>
          <w:szCs w:val="16"/>
        </w:rPr>
      </w:pPr>
      <w:r w:rsidRPr="00B4428C">
        <w:rPr>
          <w:rStyle w:val="FootnoteReference"/>
          <w:sz w:val="16"/>
          <w:szCs w:val="16"/>
        </w:rPr>
        <w:footnoteRef/>
      </w:r>
      <w:r w:rsidRPr="00B4428C">
        <w:rPr>
          <w:sz w:val="16"/>
          <w:szCs w:val="16"/>
        </w:rPr>
        <w:t xml:space="preserve"> New Style.  </w:t>
      </w:r>
      <w:r>
        <w:rPr>
          <w:sz w:val="16"/>
          <w:szCs w:val="16"/>
        </w:rPr>
        <w:t>The d</w:t>
      </w:r>
      <w:r w:rsidRPr="00B4428C">
        <w:rPr>
          <w:sz w:val="16"/>
          <w:szCs w:val="16"/>
        </w:rPr>
        <w:t xml:space="preserve">ocument is dated February 13, 1667/8.   Prior to 1652, the English civil calendar started the year on March 1.  For some years thereafter, it was customary to show dates in January and February in this manner.  </w:t>
      </w:r>
    </w:p>
  </w:footnote>
  <w:footnote w:id="23">
    <w:p w14:paraId="14A521F1" w14:textId="18519B0A" w:rsidR="00E57FD1" w:rsidRPr="00E57FD1" w:rsidRDefault="00E57FD1">
      <w:pPr>
        <w:pStyle w:val="FootnoteText"/>
        <w:rPr>
          <w:sz w:val="16"/>
          <w:szCs w:val="16"/>
        </w:rPr>
      </w:pPr>
      <w:r w:rsidRPr="00E57FD1">
        <w:rPr>
          <w:rStyle w:val="FootnoteReference"/>
          <w:sz w:val="16"/>
          <w:szCs w:val="16"/>
        </w:rPr>
        <w:footnoteRef/>
      </w:r>
      <w:r w:rsidRPr="00E57FD1">
        <w:rPr>
          <w:sz w:val="16"/>
          <w:szCs w:val="16"/>
        </w:rPr>
        <w:t xml:space="preserve"> </w:t>
      </w:r>
      <w:proofErr w:type="spellStart"/>
      <w:r w:rsidRPr="00E57FD1">
        <w:rPr>
          <w:sz w:val="16"/>
          <w:szCs w:val="16"/>
        </w:rPr>
        <w:t>Salwen</w:t>
      </w:r>
      <w:proofErr w:type="spellEnd"/>
      <w:r w:rsidR="00A733A5">
        <w:rPr>
          <w:sz w:val="16"/>
          <w:szCs w:val="16"/>
        </w:rPr>
        <w:t>,</w:t>
      </w:r>
      <w:r w:rsidRPr="00E57FD1">
        <w:rPr>
          <w:sz w:val="16"/>
          <w:szCs w:val="16"/>
        </w:rPr>
        <w:t xml:space="preserve"> </w:t>
      </w:r>
      <w:r w:rsidR="0027294F">
        <w:rPr>
          <w:i/>
          <w:iCs/>
          <w:sz w:val="16"/>
          <w:szCs w:val="16"/>
        </w:rPr>
        <w:t>op. cit.</w:t>
      </w:r>
      <w:r w:rsidRPr="00E57FD1">
        <w:rPr>
          <w:sz w:val="16"/>
          <w:szCs w:val="16"/>
        </w:rPr>
        <w:t xml:space="preserve"> p. 15</w:t>
      </w:r>
    </w:p>
  </w:footnote>
  <w:footnote w:id="24">
    <w:p w14:paraId="05DB0872" w14:textId="519F2721" w:rsidR="004400FF" w:rsidRDefault="004400FF">
      <w:pPr>
        <w:pStyle w:val="FootnoteText"/>
      </w:pPr>
      <w:r w:rsidRPr="004400FF">
        <w:rPr>
          <w:rStyle w:val="FootnoteReference"/>
          <w:sz w:val="16"/>
          <w:szCs w:val="16"/>
        </w:rPr>
        <w:footnoteRef/>
      </w:r>
      <w:r>
        <w:t xml:space="preserve"> </w:t>
      </w:r>
      <w:r w:rsidRPr="004400FF">
        <w:rPr>
          <w:sz w:val="16"/>
          <w:szCs w:val="16"/>
        </w:rPr>
        <w:t xml:space="preserve">Stokes, </w:t>
      </w:r>
      <w:r w:rsidRPr="004400FF">
        <w:rPr>
          <w:i/>
          <w:iCs/>
          <w:sz w:val="16"/>
          <w:szCs w:val="16"/>
        </w:rPr>
        <w:t>op. cit</w:t>
      </w:r>
      <w:r w:rsidRPr="004400FF">
        <w:rPr>
          <w:sz w:val="16"/>
          <w:szCs w:val="16"/>
        </w:rPr>
        <w:t>., Vol VI, p.69.</w:t>
      </w:r>
    </w:p>
  </w:footnote>
  <w:footnote w:id="25">
    <w:p w14:paraId="1B970BC9" w14:textId="75513F3F" w:rsidR="00A11C51" w:rsidRDefault="00A11C51">
      <w:pPr>
        <w:pStyle w:val="FootnoteText"/>
      </w:pPr>
      <w:r w:rsidRPr="00453DD4">
        <w:rPr>
          <w:rStyle w:val="FootnoteReference"/>
          <w:sz w:val="16"/>
          <w:szCs w:val="16"/>
        </w:rPr>
        <w:footnoteRef/>
      </w:r>
      <w:r w:rsidRPr="00453DD4">
        <w:rPr>
          <w:sz w:val="16"/>
          <w:szCs w:val="16"/>
        </w:rPr>
        <w:t xml:space="preserve"> </w:t>
      </w:r>
      <w:r w:rsidR="00DB64BF" w:rsidRPr="00453DD4">
        <w:rPr>
          <w:sz w:val="16"/>
          <w:szCs w:val="16"/>
        </w:rPr>
        <w:t>Documents</w:t>
      </w:r>
      <w:r w:rsidR="00DB64BF" w:rsidRPr="00DB64BF">
        <w:rPr>
          <w:sz w:val="16"/>
          <w:szCs w:val="16"/>
        </w:rPr>
        <w:t xml:space="preserve"> such as deeds and wills were not consistently recorded.  The new English administration was still getting a grip on a population that was predominantly Dutch speaking. </w:t>
      </w:r>
      <w:r w:rsidR="00D27C96">
        <w:rPr>
          <w:sz w:val="16"/>
          <w:szCs w:val="16"/>
        </w:rPr>
        <w:t xml:space="preserve"> In</w:t>
      </w:r>
      <w:r w:rsidR="00DB64BF" w:rsidRPr="00DB64BF">
        <w:rPr>
          <w:sz w:val="16"/>
          <w:szCs w:val="16"/>
        </w:rPr>
        <w:t xml:space="preserve"> </w:t>
      </w:r>
      <w:r w:rsidR="008E7D5F">
        <w:rPr>
          <w:sz w:val="16"/>
          <w:szCs w:val="16"/>
        </w:rPr>
        <w:t xml:space="preserve">addition, </w:t>
      </w:r>
      <w:r w:rsidR="00DB64BF" w:rsidRPr="00DB64BF">
        <w:rPr>
          <w:sz w:val="16"/>
          <w:szCs w:val="16"/>
        </w:rPr>
        <w:t>during the Third Anglo-Dutch War</w:t>
      </w:r>
      <w:r w:rsidR="008E7D5F">
        <w:rPr>
          <w:sz w:val="16"/>
          <w:szCs w:val="16"/>
        </w:rPr>
        <w:t xml:space="preserve"> in 1673</w:t>
      </w:r>
      <w:r w:rsidR="00DB64BF" w:rsidRPr="00DB64BF">
        <w:rPr>
          <w:sz w:val="16"/>
          <w:szCs w:val="16"/>
        </w:rPr>
        <w:t>, New York was recaptured and was again under Dutch rule until late in 1674.</w:t>
      </w:r>
      <w:r w:rsidR="00DB64BF">
        <w:t xml:space="preserve">  </w:t>
      </w:r>
    </w:p>
  </w:footnote>
  <w:footnote w:id="26">
    <w:p w14:paraId="77C5A2AB" w14:textId="539931BD" w:rsidR="00E57FD1" w:rsidRPr="00E57FD1" w:rsidRDefault="00E57FD1">
      <w:pPr>
        <w:pStyle w:val="FootnoteText"/>
        <w:rPr>
          <w:sz w:val="16"/>
          <w:szCs w:val="16"/>
        </w:rPr>
      </w:pPr>
      <w:r w:rsidRPr="00E57FD1">
        <w:rPr>
          <w:rStyle w:val="FootnoteReference"/>
          <w:sz w:val="16"/>
          <w:szCs w:val="16"/>
        </w:rPr>
        <w:footnoteRef/>
      </w:r>
      <w:r w:rsidRPr="00E57FD1">
        <w:rPr>
          <w:sz w:val="16"/>
          <w:szCs w:val="16"/>
        </w:rPr>
        <w:t xml:space="preserve"> Stokes, </w:t>
      </w:r>
      <w:r w:rsidR="0027294F">
        <w:rPr>
          <w:i/>
          <w:iCs/>
          <w:sz w:val="16"/>
          <w:szCs w:val="16"/>
        </w:rPr>
        <w:t>op. cit</w:t>
      </w:r>
      <w:r w:rsidRPr="00E57FD1">
        <w:rPr>
          <w:sz w:val="16"/>
          <w:szCs w:val="16"/>
        </w:rPr>
        <w:t>. Vol. VI, p. 171.</w:t>
      </w:r>
    </w:p>
  </w:footnote>
  <w:footnote w:id="27">
    <w:p w14:paraId="55B34749" w14:textId="597AC0F7" w:rsidR="008930F1" w:rsidRPr="008930F1" w:rsidRDefault="008930F1">
      <w:pPr>
        <w:pStyle w:val="FootnoteText"/>
        <w:rPr>
          <w:sz w:val="16"/>
          <w:szCs w:val="16"/>
        </w:rPr>
      </w:pPr>
      <w:r w:rsidRPr="008930F1">
        <w:rPr>
          <w:rStyle w:val="FootnoteReference"/>
          <w:sz w:val="16"/>
          <w:szCs w:val="16"/>
        </w:rPr>
        <w:footnoteRef/>
      </w:r>
      <w:r w:rsidRPr="008930F1">
        <w:rPr>
          <w:sz w:val="16"/>
          <w:szCs w:val="16"/>
        </w:rPr>
        <w:t xml:space="preserve"> </w:t>
      </w:r>
      <w:r w:rsidR="004400FF" w:rsidRPr="004400FF">
        <w:rPr>
          <w:i/>
          <w:iCs/>
          <w:sz w:val="16"/>
          <w:szCs w:val="16"/>
        </w:rPr>
        <w:t>Ibid</w:t>
      </w:r>
      <w:r w:rsidR="004400FF">
        <w:rPr>
          <w:sz w:val="16"/>
          <w:szCs w:val="16"/>
        </w:rPr>
        <w:t xml:space="preserve">., </w:t>
      </w:r>
      <w:r w:rsidRPr="008930F1">
        <w:rPr>
          <w:sz w:val="16"/>
          <w:szCs w:val="16"/>
        </w:rPr>
        <w:t>Vol VI, p. 106.</w:t>
      </w:r>
    </w:p>
  </w:footnote>
  <w:footnote w:id="28">
    <w:p w14:paraId="3AB8704C" w14:textId="234350A4" w:rsidR="00AF4973" w:rsidRPr="00E57FD1" w:rsidRDefault="00AF4973">
      <w:pPr>
        <w:pStyle w:val="FootnoteText"/>
        <w:rPr>
          <w:sz w:val="16"/>
          <w:szCs w:val="16"/>
        </w:rPr>
      </w:pPr>
      <w:r w:rsidRPr="00E57FD1">
        <w:rPr>
          <w:rStyle w:val="FootnoteReference"/>
          <w:sz w:val="16"/>
          <w:szCs w:val="16"/>
        </w:rPr>
        <w:footnoteRef/>
      </w:r>
      <w:r w:rsidRPr="00E57FD1">
        <w:rPr>
          <w:sz w:val="16"/>
          <w:szCs w:val="16"/>
        </w:rPr>
        <w:t xml:space="preserve"> Van Cortlandt’s wife was the stepdaughter of Frederick </w:t>
      </w:r>
      <w:proofErr w:type="spellStart"/>
      <w:r w:rsidRPr="00E57FD1">
        <w:rPr>
          <w:sz w:val="16"/>
          <w:szCs w:val="16"/>
        </w:rPr>
        <w:t>Phillipse</w:t>
      </w:r>
      <w:proofErr w:type="spellEnd"/>
      <w:r w:rsidRPr="00E57FD1">
        <w:rPr>
          <w:sz w:val="16"/>
          <w:szCs w:val="16"/>
        </w:rPr>
        <w:t xml:space="preserve">, and through her he became the owner of what is now Van Cortlandt Park.  </w:t>
      </w:r>
    </w:p>
  </w:footnote>
  <w:footnote w:id="29">
    <w:p w14:paraId="29994480" w14:textId="5D4E8D54" w:rsidR="008930F1" w:rsidRPr="00453DD4" w:rsidRDefault="008930F1">
      <w:pPr>
        <w:pStyle w:val="FootnoteText"/>
        <w:rPr>
          <w:sz w:val="16"/>
          <w:szCs w:val="16"/>
        </w:rPr>
      </w:pPr>
      <w:r w:rsidRPr="00453DD4">
        <w:rPr>
          <w:rStyle w:val="FootnoteReference"/>
          <w:sz w:val="16"/>
          <w:szCs w:val="16"/>
        </w:rPr>
        <w:footnoteRef/>
      </w:r>
      <w:r w:rsidRPr="00453DD4">
        <w:rPr>
          <w:sz w:val="16"/>
          <w:szCs w:val="16"/>
        </w:rPr>
        <w:t xml:space="preserve"> Stokes</w:t>
      </w:r>
      <w:r w:rsidRPr="00453DD4">
        <w:rPr>
          <w:i/>
          <w:iCs/>
          <w:sz w:val="16"/>
          <w:szCs w:val="16"/>
        </w:rPr>
        <w:t xml:space="preserve">, </w:t>
      </w:r>
      <w:r w:rsidR="0027294F" w:rsidRPr="00453DD4">
        <w:rPr>
          <w:i/>
          <w:iCs/>
          <w:sz w:val="16"/>
          <w:szCs w:val="16"/>
        </w:rPr>
        <w:t>op. cit</w:t>
      </w:r>
      <w:r w:rsidRPr="00453DD4">
        <w:rPr>
          <w:sz w:val="16"/>
          <w:szCs w:val="16"/>
        </w:rPr>
        <w:t>. Vol VI, p. 106.</w:t>
      </w:r>
    </w:p>
  </w:footnote>
  <w:footnote w:id="30">
    <w:p w14:paraId="762A9D0E" w14:textId="5A7DBFA0" w:rsidR="008930F1" w:rsidRPr="00453DD4" w:rsidRDefault="008930F1">
      <w:pPr>
        <w:pStyle w:val="FootnoteText"/>
        <w:rPr>
          <w:sz w:val="16"/>
          <w:szCs w:val="16"/>
        </w:rPr>
      </w:pPr>
      <w:r w:rsidRPr="00453DD4">
        <w:rPr>
          <w:rStyle w:val="FootnoteReference"/>
          <w:sz w:val="16"/>
          <w:szCs w:val="16"/>
        </w:rPr>
        <w:footnoteRef/>
      </w:r>
      <w:r w:rsidRPr="00453DD4">
        <w:rPr>
          <w:sz w:val="16"/>
          <w:szCs w:val="16"/>
        </w:rPr>
        <w:t xml:space="preserve"> Stokes, </w:t>
      </w:r>
      <w:r w:rsidR="0027294F" w:rsidRPr="00453DD4">
        <w:rPr>
          <w:i/>
          <w:iCs/>
          <w:sz w:val="16"/>
          <w:szCs w:val="16"/>
        </w:rPr>
        <w:t>op. cit</w:t>
      </w:r>
      <w:r w:rsidR="004914C2" w:rsidRPr="00453DD4">
        <w:rPr>
          <w:i/>
          <w:iCs/>
          <w:sz w:val="16"/>
          <w:szCs w:val="16"/>
        </w:rPr>
        <w:t>.</w:t>
      </w:r>
      <w:r w:rsidRPr="00453DD4">
        <w:rPr>
          <w:sz w:val="16"/>
          <w:szCs w:val="16"/>
        </w:rPr>
        <w:t xml:space="preserve"> Vol. VI: </w:t>
      </w:r>
      <w:r w:rsidR="00E06551" w:rsidRPr="00453DD4">
        <w:rPr>
          <w:sz w:val="16"/>
          <w:szCs w:val="16"/>
        </w:rPr>
        <w:t>p</w:t>
      </w:r>
      <w:r w:rsidR="004914C2" w:rsidRPr="00453DD4">
        <w:rPr>
          <w:sz w:val="16"/>
          <w:szCs w:val="16"/>
        </w:rPr>
        <w:t>.</w:t>
      </w:r>
      <w:r w:rsidR="00E06551" w:rsidRPr="00453DD4">
        <w:rPr>
          <w:sz w:val="16"/>
          <w:szCs w:val="16"/>
        </w:rPr>
        <w:t xml:space="preserve"> </w:t>
      </w:r>
      <w:r w:rsidRPr="00453DD4">
        <w:rPr>
          <w:sz w:val="16"/>
          <w:szCs w:val="16"/>
        </w:rPr>
        <w:t>86</w:t>
      </w:r>
      <w:r w:rsidR="004914C2" w:rsidRPr="00453DD4">
        <w:rPr>
          <w:sz w:val="16"/>
          <w:szCs w:val="16"/>
        </w:rPr>
        <w:t>.</w:t>
      </w:r>
    </w:p>
  </w:footnote>
  <w:footnote w:id="31">
    <w:p w14:paraId="410C7319" w14:textId="3019A158" w:rsidR="00E06551" w:rsidRPr="00453DD4" w:rsidRDefault="00E06551">
      <w:pPr>
        <w:pStyle w:val="FootnoteText"/>
        <w:rPr>
          <w:sz w:val="16"/>
          <w:szCs w:val="16"/>
        </w:rPr>
      </w:pPr>
      <w:r w:rsidRPr="00453DD4">
        <w:rPr>
          <w:rStyle w:val="FootnoteReference"/>
          <w:sz w:val="16"/>
          <w:szCs w:val="16"/>
        </w:rPr>
        <w:footnoteRef/>
      </w:r>
      <w:r w:rsidRPr="00453DD4">
        <w:rPr>
          <w:sz w:val="16"/>
          <w:szCs w:val="16"/>
        </w:rPr>
        <w:t xml:space="preserve"> Stokes, </w:t>
      </w:r>
      <w:r w:rsidR="0027294F" w:rsidRPr="00453DD4">
        <w:rPr>
          <w:i/>
          <w:iCs/>
          <w:sz w:val="16"/>
          <w:szCs w:val="16"/>
        </w:rPr>
        <w:t>op. cit</w:t>
      </w:r>
      <w:r w:rsidR="004914C2" w:rsidRPr="00453DD4">
        <w:rPr>
          <w:i/>
          <w:iCs/>
          <w:sz w:val="16"/>
          <w:szCs w:val="16"/>
        </w:rPr>
        <w:t>.</w:t>
      </w:r>
      <w:r w:rsidRPr="00453DD4">
        <w:rPr>
          <w:sz w:val="16"/>
          <w:szCs w:val="16"/>
        </w:rPr>
        <w:t xml:space="preserve"> Vol. VI: p</w:t>
      </w:r>
      <w:r w:rsidR="004914C2" w:rsidRPr="00453DD4">
        <w:rPr>
          <w:sz w:val="16"/>
          <w:szCs w:val="16"/>
        </w:rPr>
        <w:t>..</w:t>
      </w:r>
      <w:r w:rsidRPr="00453DD4">
        <w:rPr>
          <w:sz w:val="16"/>
          <w:szCs w:val="16"/>
        </w:rPr>
        <w:t>139</w:t>
      </w:r>
      <w:r w:rsidR="004914C2" w:rsidRPr="00453DD4">
        <w:rPr>
          <w:sz w:val="16"/>
          <w:szCs w:val="16"/>
        </w:rPr>
        <w:t>.</w:t>
      </w:r>
    </w:p>
  </w:footnote>
  <w:footnote w:id="32">
    <w:p w14:paraId="2FD71556" w14:textId="349A5289" w:rsidR="004914C2" w:rsidRDefault="004914C2" w:rsidP="00D27C96">
      <w:pPr>
        <w:pStyle w:val="FootnoteText"/>
        <w:tabs>
          <w:tab w:val="left" w:pos="3693"/>
        </w:tabs>
      </w:pPr>
      <w:r>
        <w:rPr>
          <w:rStyle w:val="FootnoteReference"/>
        </w:rPr>
        <w:footnoteRef/>
      </w:r>
      <w:r>
        <w:t xml:space="preserve"> </w:t>
      </w:r>
      <w:r w:rsidRPr="00E06551">
        <w:rPr>
          <w:sz w:val="16"/>
          <w:szCs w:val="16"/>
        </w:rPr>
        <w:t xml:space="preserve">Stokes, </w:t>
      </w:r>
      <w:r w:rsidR="0027294F">
        <w:rPr>
          <w:i/>
          <w:iCs/>
          <w:sz w:val="16"/>
          <w:szCs w:val="16"/>
        </w:rPr>
        <w:t>op. cit</w:t>
      </w:r>
      <w:r>
        <w:rPr>
          <w:i/>
          <w:iCs/>
          <w:sz w:val="16"/>
          <w:szCs w:val="16"/>
        </w:rPr>
        <w:t>.</w:t>
      </w:r>
      <w:r w:rsidRPr="00E06551">
        <w:rPr>
          <w:sz w:val="16"/>
          <w:szCs w:val="16"/>
        </w:rPr>
        <w:t xml:space="preserve"> Vol. VI</w:t>
      </w:r>
      <w:r w:rsidR="00453DD4">
        <w:rPr>
          <w:sz w:val="16"/>
          <w:szCs w:val="16"/>
        </w:rPr>
        <w:t>,</w:t>
      </w:r>
      <w:r w:rsidRPr="00E06551">
        <w:rPr>
          <w:sz w:val="16"/>
          <w:szCs w:val="16"/>
        </w:rPr>
        <w:t xml:space="preserve"> </w:t>
      </w:r>
      <w:r>
        <w:rPr>
          <w:sz w:val="16"/>
          <w:szCs w:val="16"/>
        </w:rPr>
        <w:t>pp.139-140.</w:t>
      </w:r>
      <w:r w:rsidR="00D27C96">
        <w:rPr>
          <w:sz w:val="16"/>
          <w:szCs w:val="16"/>
        </w:rPr>
        <w:tab/>
      </w:r>
    </w:p>
  </w:footnote>
  <w:footnote w:id="33">
    <w:p w14:paraId="603F5480" w14:textId="55A0C2DC" w:rsidR="004914C2" w:rsidRDefault="004914C2">
      <w:pPr>
        <w:pStyle w:val="FootnoteText"/>
      </w:pPr>
      <w:r>
        <w:rPr>
          <w:rStyle w:val="FootnoteReference"/>
        </w:rPr>
        <w:footnoteRef/>
      </w:r>
      <w:r>
        <w:t xml:space="preserve"> </w:t>
      </w:r>
      <w:r w:rsidRPr="004914C2">
        <w:rPr>
          <w:sz w:val="16"/>
          <w:szCs w:val="16"/>
        </w:rPr>
        <w:t xml:space="preserve">Stokes, </w:t>
      </w:r>
      <w:r w:rsidR="0027294F">
        <w:rPr>
          <w:i/>
          <w:iCs/>
          <w:sz w:val="16"/>
          <w:szCs w:val="16"/>
        </w:rPr>
        <w:t>op. cit.</w:t>
      </w:r>
      <w:r w:rsidRPr="004914C2">
        <w:rPr>
          <w:sz w:val="16"/>
          <w:szCs w:val="16"/>
        </w:rPr>
        <w:t xml:space="preserve"> Vol. VI</w:t>
      </w:r>
      <w:r w:rsidR="00453DD4">
        <w:rPr>
          <w:sz w:val="16"/>
          <w:szCs w:val="16"/>
        </w:rPr>
        <w:t>,</w:t>
      </w:r>
      <w:r w:rsidRPr="004914C2">
        <w:rPr>
          <w:sz w:val="16"/>
          <w:szCs w:val="16"/>
        </w:rPr>
        <w:t xml:space="preserve"> pp</w:t>
      </w:r>
      <w:r w:rsidR="004D644F">
        <w:rPr>
          <w:sz w:val="16"/>
          <w:szCs w:val="16"/>
        </w:rPr>
        <w:t>.</w:t>
      </w:r>
      <w:r w:rsidRPr="004914C2">
        <w:rPr>
          <w:sz w:val="16"/>
          <w:szCs w:val="16"/>
        </w:rPr>
        <w:t xml:space="preserve"> 103-104.</w:t>
      </w:r>
    </w:p>
  </w:footnote>
  <w:footnote w:id="34">
    <w:p w14:paraId="46FC1C58" w14:textId="7979D6BA" w:rsidR="00FC48EB" w:rsidRDefault="00FC48EB">
      <w:pPr>
        <w:pStyle w:val="FootnoteText"/>
      </w:pPr>
      <w:r w:rsidRPr="00D27C96">
        <w:rPr>
          <w:rStyle w:val="FootnoteReference"/>
          <w:sz w:val="16"/>
          <w:szCs w:val="16"/>
        </w:rPr>
        <w:footnoteRef/>
      </w:r>
      <w:r w:rsidRPr="00D27C96">
        <w:rPr>
          <w:sz w:val="16"/>
          <w:szCs w:val="16"/>
        </w:rPr>
        <w:t xml:space="preserve"> Stokes, </w:t>
      </w:r>
      <w:r w:rsidRPr="00D27C96">
        <w:rPr>
          <w:i/>
          <w:iCs/>
          <w:sz w:val="16"/>
          <w:szCs w:val="16"/>
        </w:rPr>
        <w:t>op. cit</w:t>
      </w:r>
      <w:r w:rsidRPr="00D27C96">
        <w:rPr>
          <w:sz w:val="16"/>
          <w:szCs w:val="16"/>
        </w:rPr>
        <w:t>. Vol VI, p. 140</w:t>
      </w:r>
      <w:r>
        <w:t>.</w:t>
      </w:r>
    </w:p>
  </w:footnote>
  <w:footnote w:id="35">
    <w:p w14:paraId="56EF2849" w14:textId="1591FE74" w:rsidR="003A44B4" w:rsidRPr="004D644F" w:rsidRDefault="003A44B4">
      <w:pPr>
        <w:pStyle w:val="FootnoteText"/>
        <w:rPr>
          <w:sz w:val="16"/>
          <w:szCs w:val="16"/>
        </w:rPr>
      </w:pPr>
      <w:r w:rsidRPr="004D644F">
        <w:rPr>
          <w:rStyle w:val="FootnoteReference"/>
          <w:sz w:val="16"/>
          <w:szCs w:val="16"/>
        </w:rPr>
        <w:footnoteRef/>
      </w:r>
      <w:r w:rsidRPr="004D644F">
        <w:rPr>
          <w:sz w:val="16"/>
          <w:szCs w:val="16"/>
        </w:rPr>
        <w:t xml:space="preserve"> </w:t>
      </w:r>
      <w:proofErr w:type="spellStart"/>
      <w:r w:rsidRPr="004D644F">
        <w:rPr>
          <w:sz w:val="16"/>
          <w:szCs w:val="16"/>
        </w:rPr>
        <w:t>Bielinski</w:t>
      </w:r>
      <w:proofErr w:type="spellEnd"/>
      <w:r w:rsidRPr="004D644F">
        <w:rPr>
          <w:sz w:val="16"/>
          <w:szCs w:val="16"/>
        </w:rPr>
        <w:t xml:space="preserve">, Stefan “Brandt Schuyler.” </w:t>
      </w:r>
      <w:hyperlink r:id="rId1" w:history="1">
        <w:r w:rsidRPr="004D644F">
          <w:rPr>
            <w:rStyle w:val="Hyperlink"/>
            <w:sz w:val="16"/>
            <w:szCs w:val="16"/>
          </w:rPr>
          <w:t>https://exhibitions.nysm.nysed.gov/albany/bios/s/brschuyler1092.html</w:t>
        </w:r>
      </w:hyperlink>
      <w:r w:rsidRPr="004D644F">
        <w:rPr>
          <w:sz w:val="16"/>
          <w:szCs w:val="16"/>
        </w:rPr>
        <w:t xml:space="preserve">. Accessed January </w:t>
      </w:r>
      <w:r w:rsidR="004D644F" w:rsidRPr="004D644F">
        <w:rPr>
          <w:sz w:val="16"/>
          <w:szCs w:val="16"/>
        </w:rPr>
        <w:t>21, 2023.</w:t>
      </w:r>
    </w:p>
  </w:footnote>
  <w:footnote w:id="36">
    <w:p w14:paraId="22915DB6" w14:textId="70080C5B" w:rsidR="004D644F" w:rsidRPr="004D644F" w:rsidRDefault="004D644F">
      <w:pPr>
        <w:pStyle w:val="FootnoteText"/>
        <w:rPr>
          <w:sz w:val="16"/>
          <w:szCs w:val="16"/>
        </w:rPr>
      </w:pPr>
      <w:r w:rsidRPr="004D644F">
        <w:rPr>
          <w:rStyle w:val="FootnoteReference"/>
          <w:sz w:val="16"/>
          <w:szCs w:val="16"/>
        </w:rPr>
        <w:footnoteRef/>
      </w:r>
      <w:r w:rsidRPr="004D644F">
        <w:rPr>
          <w:sz w:val="16"/>
          <w:szCs w:val="16"/>
        </w:rPr>
        <w:t xml:space="preserve"> Stokes, </w:t>
      </w:r>
      <w:r w:rsidR="0027294F" w:rsidRPr="0027294F">
        <w:rPr>
          <w:i/>
          <w:iCs/>
          <w:sz w:val="16"/>
          <w:szCs w:val="16"/>
        </w:rPr>
        <w:t>op. cit</w:t>
      </w:r>
      <w:r w:rsidR="0027294F">
        <w:rPr>
          <w:sz w:val="16"/>
          <w:szCs w:val="16"/>
        </w:rPr>
        <w:t>.</w:t>
      </w:r>
      <w:r w:rsidRPr="004D644F">
        <w:rPr>
          <w:sz w:val="16"/>
          <w:szCs w:val="16"/>
        </w:rPr>
        <w:t xml:space="preserve"> Vol. VI</w:t>
      </w:r>
      <w:r w:rsidR="00453DD4">
        <w:rPr>
          <w:sz w:val="16"/>
          <w:szCs w:val="16"/>
        </w:rPr>
        <w:t>,</w:t>
      </w:r>
      <w:r w:rsidRPr="004D644F">
        <w:rPr>
          <w:sz w:val="16"/>
          <w:szCs w:val="16"/>
        </w:rPr>
        <w:t xml:space="preserve"> pp. 94-95.  </w:t>
      </w:r>
    </w:p>
  </w:footnote>
  <w:footnote w:id="37">
    <w:p w14:paraId="63391D57" w14:textId="3F692A06" w:rsidR="004D644F" w:rsidRDefault="004D644F">
      <w:pPr>
        <w:pStyle w:val="FootnoteText"/>
      </w:pPr>
      <w:r w:rsidRPr="004D644F">
        <w:rPr>
          <w:rStyle w:val="FootnoteReference"/>
          <w:sz w:val="16"/>
          <w:szCs w:val="16"/>
        </w:rPr>
        <w:footnoteRef/>
      </w:r>
      <w:r w:rsidRPr="004D644F">
        <w:rPr>
          <w:sz w:val="16"/>
          <w:szCs w:val="16"/>
        </w:rPr>
        <w:t xml:space="preserve"> Stokes, </w:t>
      </w:r>
      <w:r w:rsidR="0027294F" w:rsidRPr="0027294F">
        <w:rPr>
          <w:i/>
          <w:iCs/>
          <w:sz w:val="16"/>
          <w:szCs w:val="16"/>
        </w:rPr>
        <w:t>op. cit</w:t>
      </w:r>
      <w:r w:rsidR="0027294F">
        <w:rPr>
          <w:sz w:val="16"/>
          <w:szCs w:val="16"/>
        </w:rPr>
        <w:t>.</w:t>
      </w:r>
      <w:r w:rsidRPr="004D644F">
        <w:rPr>
          <w:sz w:val="16"/>
          <w:szCs w:val="16"/>
        </w:rPr>
        <w:t xml:space="preserve"> Vol. VI</w:t>
      </w:r>
      <w:r w:rsidR="00453DD4">
        <w:rPr>
          <w:sz w:val="16"/>
          <w:szCs w:val="16"/>
        </w:rPr>
        <w:t>,</w:t>
      </w:r>
      <w:r w:rsidRPr="004D644F">
        <w:rPr>
          <w:sz w:val="16"/>
          <w:szCs w:val="16"/>
        </w:rPr>
        <w:t xml:space="preserve"> pp. 69-70.  </w:t>
      </w:r>
    </w:p>
  </w:footnote>
  <w:footnote w:id="38">
    <w:p w14:paraId="31876903" w14:textId="442EA294" w:rsidR="00B37109" w:rsidRDefault="00B37109">
      <w:pPr>
        <w:pStyle w:val="FootnoteText"/>
      </w:pPr>
      <w:r>
        <w:rPr>
          <w:rStyle w:val="FootnoteReference"/>
        </w:rPr>
        <w:footnoteRef/>
      </w:r>
      <w:r>
        <w:t xml:space="preserve"> </w:t>
      </w:r>
      <w:r w:rsidRPr="00D27C96">
        <w:rPr>
          <w:sz w:val="16"/>
          <w:szCs w:val="16"/>
        </w:rPr>
        <w:t>Wikipedia “Stephen Delancey.” Accessed February 8, 2023</w:t>
      </w:r>
    </w:p>
  </w:footnote>
  <w:footnote w:id="39">
    <w:p w14:paraId="54500C4D" w14:textId="575EE721" w:rsidR="00AF4973" w:rsidRPr="00B4428C" w:rsidRDefault="00AF4973">
      <w:pPr>
        <w:pStyle w:val="FootnoteText"/>
        <w:rPr>
          <w:sz w:val="16"/>
          <w:szCs w:val="16"/>
        </w:rPr>
      </w:pPr>
      <w:r w:rsidRPr="00B4428C">
        <w:rPr>
          <w:rStyle w:val="FootnoteReference"/>
          <w:sz w:val="16"/>
          <w:szCs w:val="16"/>
        </w:rPr>
        <w:footnoteRef/>
      </w:r>
      <w:r w:rsidRPr="00B4428C">
        <w:rPr>
          <w:sz w:val="16"/>
          <w:szCs w:val="16"/>
        </w:rPr>
        <w:t xml:space="preserve"> </w:t>
      </w:r>
      <w:proofErr w:type="spellStart"/>
      <w:r w:rsidRPr="00B4428C">
        <w:rPr>
          <w:sz w:val="16"/>
          <w:szCs w:val="16"/>
        </w:rPr>
        <w:t>Labadism</w:t>
      </w:r>
      <w:proofErr w:type="spellEnd"/>
      <w:r w:rsidRPr="00B4428C">
        <w:rPr>
          <w:sz w:val="16"/>
          <w:szCs w:val="16"/>
        </w:rPr>
        <w:t xml:space="preserve"> was a communitarian pietist movement founded by Jean de Labadie (1610-1674), a former Jesuit whose preaching won him a significant following among French-speaking Protestants.  After being driven from France, his followers established a community in the Netherlands.  As a result of the visit by </w:t>
      </w:r>
      <w:proofErr w:type="spellStart"/>
      <w:r w:rsidRPr="00B4428C">
        <w:rPr>
          <w:sz w:val="16"/>
          <w:szCs w:val="16"/>
        </w:rPr>
        <w:t>Danckaerts</w:t>
      </w:r>
      <w:proofErr w:type="spellEnd"/>
      <w:r w:rsidRPr="00B4428C">
        <w:rPr>
          <w:sz w:val="16"/>
          <w:szCs w:val="16"/>
        </w:rPr>
        <w:t xml:space="preserve"> and his colleague Peter </w:t>
      </w:r>
      <w:proofErr w:type="spellStart"/>
      <w:r w:rsidRPr="00B4428C">
        <w:rPr>
          <w:sz w:val="16"/>
          <w:szCs w:val="16"/>
        </w:rPr>
        <w:t>Sluyter</w:t>
      </w:r>
      <w:proofErr w:type="spellEnd"/>
      <w:r w:rsidRPr="00B4428C">
        <w:rPr>
          <w:sz w:val="16"/>
          <w:szCs w:val="16"/>
        </w:rPr>
        <w:t>, a Labadist community was established in Maryland in 1683</w:t>
      </w:r>
      <w:r>
        <w:rPr>
          <w:sz w:val="16"/>
          <w:szCs w:val="16"/>
        </w:rPr>
        <w:t>.</w:t>
      </w:r>
      <w:r w:rsidR="008E7D5F">
        <w:rPr>
          <w:sz w:val="16"/>
          <w:szCs w:val="16"/>
        </w:rPr>
        <w:t xml:space="preserve">  (Wikipedia “Labadists,” accessed February 12, 2023</w:t>
      </w:r>
      <w:r w:rsidR="00F96343">
        <w:rPr>
          <w:sz w:val="16"/>
          <w:szCs w:val="16"/>
        </w:rPr>
        <w:t>)</w:t>
      </w:r>
    </w:p>
  </w:footnote>
  <w:footnote w:id="40">
    <w:p w14:paraId="336C173A" w14:textId="49A3F3CC" w:rsidR="00FE3BF9" w:rsidRPr="003C5560" w:rsidRDefault="00FE3BF9">
      <w:pPr>
        <w:pStyle w:val="FootnoteText"/>
        <w:rPr>
          <w:sz w:val="16"/>
          <w:szCs w:val="16"/>
        </w:rPr>
      </w:pPr>
      <w:r>
        <w:rPr>
          <w:rStyle w:val="FootnoteReference"/>
        </w:rPr>
        <w:footnoteRef/>
      </w:r>
      <w:r>
        <w:t xml:space="preserve"> </w:t>
      </w:r>
      <w:proofErr w:type="spellStart"/>
      <w:r w:rsidRPr="003C5560">
        <w:rPr>
          <w:sz w:val="16"/>
          <w:szCs w:val="16"/>
        </w:rPr>
        <w:t>Danckaerts</w:t>
      </w:r>
      <w:proofErr w:type="spellEnd"/>
      <w:r w:rsidRPr="003C5560">
        <w:rPr>
          <w:sz w:val="16"/>
          <w:szCs w:val="16"/>
        </w:rPr>
        <w:t>, Jasper</w:t>
      </w:r>
      <w:r w:rsidR="003C5560" w:rsidRPr="003C5560">
        <w:rPr>
          <w:sz w:val="16"/>
          <w:szCs w:val="16"/>
        </w:rPr>
        <w:t xml:space="preserve">, and Peter </w:t>
      </w:r>
      <w:proofErr w:type="spellStart"/>
      <w:r w:rsidR="003C5560" w:rsidRPr="003C5560">
        <w:rPr>
          <w:sz w:val="16"/>
          <w:szCs w:val="16"/>
        </w:rPr>
        <w:t>Sluyter</w:t>
      </w:r>
      <w:proofErr w:type="spellEnd"/>
      <w:r w:rsidRPr="003C5560">
        <w:rPr>
          <w:sz w:val="16"/>
          <w:szCs w:val="16"/>
        </w:rPr>
        <w:t xml:space="preserve">.  </w:t>
      </w:r>
      <w:r w:rsidR="003C5560" w:rsidRPr="00D27C96">
        <w:rPr>
          <w:i/>
          <w:iCs/>
          <w:sz w:val="16"/>
          <w:szCs w:val="16"/>
        </w:rPr>
        <w:t xml:space="preserve">Journal of a </w:t>
      </w:r>
      <w:r w:rsidR="00614259" w:rsidRPr="00D27C96">
        <w:rPr>
          <w:i/>
          <w:iCs/>
          <w:sz w:val="16"/>
          <w:szCs w:val="16"/>
        </w:rPr>
        <w:t>V</w:t>
      </w:r>
      <w:r w:rsidR="003C5560" w:rsidRPr="00D27C96">
        <w:rPr>
          <w:i/>
          <w:iCs/>
          <w:sz w:val="16"/>
          <w:szCs w:val="16"/>
        </w:rPr>
        <w:t xml:space="preserve">oyage to New York and a </w:t>
      </w:r>
      <w:r w:rsidR="00614259" w:rsidRPr="00D27C96">
        <w:rPr>
          <w:i/>
          <w:iCs/>
          <w:sz w:val="16"/>
          <w:szCs w:val="16"/>
        </w:rPr>
        <w:t>T</w:t>
      </w:r>
      <w:r w:rsidR="003C5560" w:rsidRPr="00D27C96">
        <w:rPr>
          <w:i/>
          <w:iCs/>
          <w:sz w:val="16"/>
          <w:szCs w:val="16"/>
        </w:rPr>
        <w:t xml:space="preserve">our in </w:t>
      </w:r>
      <w:r w:rsidR="00614259" w:rsidRPr="00D27C96">
        <w:rPr>
          <w:i/>
          <w:iCs/>
          <w:sz w:val="16"/>
          <w:szCs w:val="16"/>
        </w:rPr>
        <w:t>S</w:t>
      </w:r>
      <w:r w:rsidR="003C5560" w:rsidRPr="00D27C96">
        <w:rPr>
          <w:i/>
          <w:iCs/>
          <w:sz w:val="16"/>
          <w:szCs w:val="16"/>
        </w:rPr>
        <w:t xml:space="preserve">everal of the American </w:t>
      </w:r>
      <w:r w:rsidR="00614259" w:rsidRPr="00D27C96">
        <w:rPr>
          <w:i/>
          <w:iCs/>
          <w:sz w:val="16"/>
          <w:szCs w:val="16"/>
        </w:rPr>
        <w:t>C</w:t>
      </w:r>
      <w:r w:rsidR="003C5560" w:rsidRPr="00D27C96">
        <w:rPr>
          <w:i/>
          <w:iCs/>
          <w:sz w:val="16"/>
          <w:szCs w:val="16"/>
        </w:rPr>
        <w:t>olonies in 1679-80</w:t>
      </w:r>
      <w:r w:rsidR="003C5560" w:rsidRPr="003C5560">
        <w:rPr>
          <w:sz w:val="16"/>
          <w:szCs w:val="16"/>
        </w:rPr>
        <w:t xml:space="preserve"> [electronic resource] / by Jasper </w:t>
      </w:r>
      <w:proofErr w:type="spellStart"/>
      <w:r w:rsidR="00887DB8">
        <w:rPr>
          <w:sz w:val="16"/>
          <w:szCs w:val="16"/>
        </w:rPr>
        <w:t>Danckaerts</w:t>
      </w:r>
      <w:proofErr w:type="spellEnd"/>
      <w:r w:rsidR="003C5560" w:rsidRPr="003C5560">
        <w:rPr>
          <w:sz w:val="16"/>
          <w:szCs w:val="16"/>
        </w:rPr>
        <w:t xml:space="preserve"> and Peter </w:t>
      </w:r>
      <w:proofErr w:type="spellStart"/>
      <w:proofErr w:type="gramStart"/>
      <w:r w:rsidR="003C5560" w:rsidRPr="003C5560">
        <w:rPr>
          <w:sz w:val="16"/>
          <w:szCs w:val="16"/>
        </w:rPr>
        <w:t>Sluyter</w:t>
      </w:r>
      <w:proofErr w:type="spellEnd"/>
      <w:r w:rsidR="003C5560" w:rsidRPr="003C5560">
        <w:rPr>
          <w:sz w:val="16"/>
          <w:szCs w:val="16"/>
        </w:rPr>
        <w:t xml:space="preserve"> ;</w:t>
      </w:r>
      <w:proofErr w:type="gramEnd"/>
      <w:r w:rsidR="003C5560" w:rsidRPr="003C5560">
        <w:rPr>
          <w:sz w:val="16"/>
          <w:szCs w:val="16"/>
        </w:rPr>
        <w:t xml:space="preserve"> translated from the original manuscript in Dutch for the Long Island Historical Society ; and edited by Henry C. Murphy.  Brooklyn NY, 1867, pp. 189-90.</w:t>
      </w:r>
    </w:p>
  </w:footnote>
  <w:footnote w:id="41">
    <w:p w14:paraId="0AAA6EF7" w14:textId="5B4BDCAA" w:rsidR="00AF4973" w:rsidRPr="00B4428C" w:rsidRDefault="00AF4973">
      <w:pPr>
        <w:pStyle w:val="FootnoteText"/>
        <w:rPr>
          <w:sz w:val="16"/>
          <w:szCs w:val="16"/>
        </w:rPr>
      </w:pPr>
      <w:r w:rsidRPr="00B4428C">
        <w:rPr>
          <w:rStyle w:val="FootnoteReference"/>
          <w:sz w:val="16"/>
          <w:szCs w:val="16"/>
        </w:rPr>
        <w:footnoteRef/>
      </w:r>
      <w:r>
        <w:rPr>
          <w:sz w:val="16"/>
          <w:szCs w:val="16"/>
        </w:rPr>
        <w:t xml:space="preserve"> </w:t>
      </w:r>
      <w:r w:rsidRPr="00B4428C">
        <w:rPr>
          <w:sz w:val="16"/>
          <w:szCs w:val="16"/>
        </w:rPr>
        <w:t xml:space="preserve">The Dutch at that time generally did not yet use surnames.  Even in official documents, people were usually known by a </w:t>
      </w:r>
      <w:r w:rsidR="00453DD4">
        <w:rPr>
          <w:sz w:val="16"/>
          <w:szCs w:val="16"/>
        </w:rPr>
        <w:t>cal</w:t>
      </w:r>
      <w:r w:rsidRPr="00B4428C">
        <w:rPr>
          <w:sz w:val="16"/>
          <w:szCs w:val="16"/>
        </w:rPr>
        <w:t xml:space="preserve">l name—which might be a nickname-- plus a patronymic.  Further precision, if needed, was most often provided by a toponymic such as van </w:t>
      </w:r>
      <w:proofErr w:type="spellStart"/>
      <w:r w:rsidRPr="00B4428C">
        <w:rPr>
          <w:sz w:val="16"/>
          <w:szCs w:val="16"/>
        </w:rPr>
        <w:t>Brugh</w:t>
      </w:r>
      <w:proofErr w:type="spellEnd"/>
      <w:r w:rsidRPr="00B4428C">
        <w:rPr>
          <w:sz w:val="16"/>
          <w:szCs w:val="16"/>
        </w:rPr>
        <w:t xml:space="preserve"> or van der Grift, indicating where the person was from.   Under the English, who tended to be very fastidious about anything that might affect inheritance of property, Dutch patronymics and toponymics soon evolved into </w:t>
      </w:r>
      <w:r>
        <w:rPr>
          <w:sz w:val="16"/>
          <w:szCs w:val="16"/>
        </w:rPr>
        <w:t xml:space="preserve">permanent </w:t>
      </w:r>
      <w:r w:rsidRPr="00B4428C">
        <w:rPr>
          <w:sz w:val="16"/>
          <w:szCs w:val="16"/>
        </w:rPr>
        <w:t xml:space="preserve">surnames such as Jansen and Vanderbilt.   </w:t>
      </w:r>
    </w:p>
  </w:footnote>
  <w:footnote w:id="42">
    <w:p w14:paraId="24C14572" w14:textId="6478FC41" w:rsidR="003C5560" w:rsidRDefault="003C5560">
      <w:pPr>
        <w:pStyle w:val="FootnoteText"/>
      </w:pPr>
      <w:r>
        <w:rPr>
          <w:rStyle w:val="FootnoteReference"/>
        </w:rPr>
        <w:footnoteRef/>
      </w:r>
      <w:r>
        <w:t xml:space="preserve"> </w:t>
      </w:r>
      <w:proofErr w:type="spellStart"/>
      <w:r w:rsidRPr="003C5560">
        <w:rPr>
          <w:sz w:val="16"/>
          <w:szCs w:val="16"/>
        </w:rPr>
        <w:t>Danckaerts</w:t>
      </w:r>
      <w:proofErr w:type="spellEnd"/>
      <w:r w:rsidRPr="003C5560">
        <w:rPr>
          <w:sz w:val="16"/>
          <w:szCs w:val="16"/>
        </w:rPr>
        <w:t xml:space="preserve">, </w:t>
      </w:r>
      <w:r w:rsidR="0027294F">
        <w:rPr>
          <w:i/>
          <w:iCs/>
          <w:sz w:val="16"/>
          <w:szCs w:val="16"/>
        </w:rPr>
        <w:t>op. cit.</w:t>
      </w:r>
      <w:r w:rsidRPr="003C5560">
        <w:rPr>
          <w:sz w:val="16"/>
          <w:szCs w:val="16"/>
        </w:rPr>
        <w:t>, p. 191</w:t>
      </w:r>
      <w:r>
        <w:t>.</w:t>
      </w:r>
    </w:p>
  </w:footnote>
  <w:footnote w:id="43">
    <w:p w14:paraId="69AA71A5" w14:textId="106EF258" w:rsidR="007F1760" w:rsidRDefault="007F1760">
      <w:pPr>
        <w:pStyle w:val="FootnoteText"/>
      </w:pPr>
      <w:r>
        <w:rPr>
          <w:rStyle w:val="FootnoteReference"/>
        </w:rPr>
        <w:footnoteRef/>
      </w:r>
      <w:r>
        <w:t xml:space="preserve"> </w:t>
      </w:r>
      <w:r w:rsidR="00453DD4" w:rsidRPr="00453DD4">
        <w:rPr>
          <w:i/>
          <w:iCs/>
          <w:sz w:val="16"/>
          <w:szCs w:val="16"/>
        </w:rPr>
        <w:t>Ibid</w:t>
      </w:r>
      <w:r w:rsidR="0027294F">
        <w:rPr>
          <w:i/>
          <w:iCs/>
          <w:sz w:val="16"/>
          <w:szCs w:val="16"/>
        </w:rPr>
        <w:t>.</w:t>
      </w:r>
      <w:r w:rsidRPr="003C5560">
        <w:rPr>
          <w:sz w:val="16"/>
          <w:szCs w:val="16"/>
        </w:rPr>
        <w:t xml:space="preserve">, p. </w:t>
      </w:r>
      <w:r>
        <w:rPr>
          <w:sz w:val="16"/>
          <w:szCs w:val="16"/>
        </w:rPr>
        <w:t>233</w:t>
      </w:r>
      <w:r>
        <w:t>.</w:t>
      </w:r>
    </w:p>
  </w:footnote>
  <w:footnote w:id="44">
    <w:p w14:paraId="27904E03" w14:textId="73711FD9" w:rsidR="007F1760" w:rsidRPr="007F1760" w:rsidRDefault="007F1760">
      <w:pPr>
        <w:pStyle w:val="FootnoteText"/>
        <w:rPr>
          <w:sz w:val="16"/>
          <w:szCs w:val="16"/>
        </w:rPr>
      </w:pPr>
      <w:r>
        <w:rPr>
          <w:rStyle w:val="FootnoteReference"/>
        </w:rPr>
        <w:footnoteRef/>
      </w:r>
      <w:r>
        <w:t xml:space="preserve"> </w:t>
      </w:r>
      <w:r w:rsidR="00453DD4" w:rsidRPr="00453DD4">
        <w:rPr>
          <w:i/>
          <w:iCs/>
          <w:sz w:val="16"/>
          <w:szCs w:val="16"/>
        </w:rPr>
        <w:t>Ibid</w:t>
      </w:r>
      <w:r w:rsidR="0027294F">
        <w:rPr>
          <w:i/>
          <w:iCs/>
          <w:sz w:val="16"/>
          <w:szCs w:val="16"/>
        </w:rPr>
        <w:t>.</w:t>
      </w:r>
      <w:r w:rsidRPr="007F1760">
        <w:rPr>
          <w:sz w:val="16"/>
          <w:szCs w:val="16"/>
        </w:rPr>
        <w:t>, p. 250.</w:t>
      </w:r>
    </w:p>
  </w:footnote>
  <w:footnote w:id="45">
    <w:p w14:paraId="4999F5F4" w14:textId="33ECFAAF" w:rsidR="007F1760" w:rsidRDefault="007F1760">
      <w:pPr>
        <w:pStyle w:val="FootnoteText"/>
      </w:pPr>
      <w:r w:rsidRPr="007F1760">
        <w:rPr>
          <w:rStyle w:val="FootnoteReference"/>
          <w:sz w:val="16"/>
          <w:szCs w:val="16"/>
        </w:rPr>
        <w:footnoteRef/>
      </w:r>
      <w:r w:rsidRPr="007F1760">
        <w:rPr>
          <w:sz w:val="16"/>
          <w:szCs w:val="16"/>
        </w:rPr>
        <w:t xml:space="preserve"> </w:t>
      </w:r>
      <w:proofErr w:type="spellStart"/>
      <w:r w:rsidRPr="007F1760">
        <w:rPr>
          <w:sz w:val="16"/>
          <w:szCs w:val="16"/>
        </w:rPr>
        <w:t>Salwen</w:t>
      </w:r>
      <w:proofErr w:type="spellEnd"/>
      <w:r w:rsidRPr="007F1760">
        <w:rPr>
          <w:sz w:val="16"/>
          <w:szCs w:val="16"/>
        </w:rPr>
        <w:t xml:space="preserve">, </w:t>
      </w:r>
      <w:r w:rsidR="0027294F">
        <w:rPr>
          <w:i/>
          <w:iCs/>
          <w:sz w:val="16"/>
          <w:szCs w:val="16"/>
        </w:rPr>
        <w:t>op. cit.</w:t>
      </w:r>
      <w:r w:rsidRPr="007F1760">
        <w:rPr>
          <w:sz w:val="16"/>
          <w:szCs w:val="16"/>
        </w:rPr>
        <w:t>, p. 16.</w:t>
      </w:r>
    </w:p>
  </w:footnote>
  <w:footnote w:id="46">
    <w:p w14:paraId="07027C3F" w14:textId="4E369890" w:rsidR="00AF4973" w:rsidRPr="001D568D" w:rsidRDefault="00AF4973">
      <w:pPr>
        <w:pStyle w:val="FootnoteText"/>
        <w:rPr>
          <w:sz w:val="16"/>
          <w:szCs w:val="16"/>
        </w:rPr>
      </w:pPr>
      <w:r>
        <w:rPr>
          <w:rStyle w:val="FootnoteReference"/>
        </w:rPr>
        <w:footnoteRef/>
      </w:r>
      <w:r>
        <w:t xml:space="preserve"> </w:t>
      </w:r>
      <w:r w:rsidRPr="001D568D">
        <w:rPr>
          <w:sz w:val="16"/>
          <w:szCs w:val="16"/>
        </w:rPr>
        <w:t xml:space="preserve">In 1683 the </w:t>
      </w:r>
      <w:proofErr w:type="gramStart"/>
      <w:r w:rsidRPr="001D568D">
        <w:rPr>
          <w:sz w:val="16"/>
          <w:szCs w:val="16"/>
        </w:rPr>
        <w:t>City</w:t>
      </w:r>
      <w:proofErr w:type="gramEnd"/>
      <w:r w:rsidRPr="001D568D">
        <w:rPr>
          <w:sz w:val="16"/>
          <w:szCs w:val="16"/>
        </w:rPr>
        <w:t xml:space="preserve"> had been divided into six wards, five of which were south of the city wall.  The rest of the island, everything north of the present Wall Street, was the </w:t>
      </w:r>
      <w:proofErr w:type="gramStart"/>
      <w:r w:rsidRPr="001D568D">
        <w:rPr>
          <w:sz w:val="16"/>
          <w:szCs w:val="16"/>
        </w:rPr>
        <w:t>Out Ward</w:t>
      </w:r>
      <w:proofErr w:type="gramEnd"/>
      <w:r w:rsidRPr="001D568D">
        <w:rPr>
          <w:sz w:val="16"/>
          <w:szCs w:val="16"/>
        </w:rPr>
        <w:t xml:space="preserve">, which was </w:t>
      </w:r>
      <w:r>
        <w:rPr>
          <w:sz w:val="16"/>
          <w:szCs w:val="16"/>
        </w:rPr>
        <w:t xml:space="preserve">in turn </w:t>
      </w:r>
      <w:r w:rsidRPr="001D568D">
        <w:rPr>
          <w:sz w:val="16"/>
          <w:szCs w:val="16"/>
        </w:rPr>
        <w:t xml:space="preserve">divided into a Bowery Division and a Harlem Division.  </w:t>
      </w:r>
      <w:r w:rsidR="002531D0">
        <w:rPr>
          <w:sz w:val="16"/>
          <w:szCs w:val="16"/>
        </w:rPr>
        <w:t xml:space="preserve">Stokes, op. cit., Chronology, December 8, 1683; </w:t>
      </w:r>
      <w:proofErr w:type="spellStart"/>
      <w:r w:rsidR="002531D0">
        <w:rPr>
          <w:sz w:val="16"/>
          <w:szCs w:val="16"/>
        </w:rPr>
        <w:t>Seymann</w:t>
      </w:r>
      <w:proofErr w:type="spellEnd"/>
      <w:r w:rsidR="002531D0">
        <w:rPr>
          <w:sz w:val="16"/>
          <w:szCs w:val="16"/>
        </w:rPr>
        <w:t xml:space="preserve">, </w:t>
      </w:r>
      <w:r w:rsidR="002531D0" w:rsidRPr="002531D0">
        <w:rPr>
          <w:i/>
          <w:iCs/>
          <w:sz w:val="16"/>
          <w:szCs w:val="16"/>
        </w:rPr>
        <w:t>op. cit</w:t>
      </w:r>
      <w:r w:rsidR="002531D0">
        <w:rPr>
          <w:sz w:val="16"/>
          <w:szCs w:val="16"/>
        </w:rPr>
        <w:t xml:space="preserve">. p. 229. </w:t>
      </w:r>
    </w:p>
  </w:footnote>
  <w:footnote w:id="47">
    <w:p w14:paraId="798DD82B" w14:textId="02F6F9E0" w:rsidR="007F1760" w:rsidRPr="0027294F" w:rsidRDefault="007F1760">
      <w:pPr>
        <w:pStyle w:val="FootnoteText"/>
        <w:rPr>
          <w:sz w:val="16"/>
          <w:szCs w:val="16"/>
        </w:rPr>
      </w:pPr>
      <w:r w:rsidRPr="0027294F">
        <w:rPr>
          <w:rStyle w:val="FootnoteReference"/>
          <w:sz w:val="16"/>
          <w:szCs w:val="16"/>
        </w:rPr>
        <w:footnoteRef/>
      </w:r>
      <w:r w:rsidRPr="0027294F">
        <w:rPr>
          <w:sz w:val="16"/>
          <w:szCs w:val="16"/>
        </w:rPr>
        <w:t xml:space="preserve"> </w:t>
      </w:r>
      <w:r w:rsidR="006C4546" w:rsidRPr="0027294F">
        <w:rPr>
          <w:sz w:val="16"/>
          <w:szCs w:val="16"/>
        </w:rPr>
        <w:t xml:space="preserve">Stokes, </w:t>
      </w:r>
      <w:r w:rsidR="0027294F" w:rsidRPr="0027294F">
        <w:rPr>
          <w:i/>
          <w:iCs/>
          <w:sz w:val="16"/>
          <w:szCs w:val="16"/>
        </w:rPr>
        <w:t>op. cit.</w:t>
      </w:r>
      <w:r w:rsidR="006C4546" w:rsidRPr="0027294F">
        <w:rPr>
          <w:sz w:val="16"/>
          <w:szCs w:val="16"/>
        </w:rPr>
        <w:t>, Vol VI, p. 69</w:t>
      </w:r>
    </w:p>
  </w:footnote>
  <w:footnote w:id="48">
    <w:p w14:paraId="3D8222DB" w14:textId="16E56FD6" w:rsidR="00F470FE" w:rsidRPr="00D27C96" w:rsidRDefault="00F470FE" w:rsidP="00F470FE">
      <w:pPr>
        <w:pStyle w:val="NormalWeb"/>
        <w:spacing w:before="0" w:beforeAutospacing="0" w:after="0" w:afterAutospacing="0"/>
        <w:rPr>
          <w:sz w:val="16"/>
          <w:szCs w:val="16"/>
        </w:rPr>
      </w:pPr>
      <w:r w:rsidRPr="00D27C96">
        <w:rPr>
          <w:rStyle w:val="FootnoteReference"/>
          <w:rFonts w:asciiTheme="minorHAnsi" w:hAnsiTheme="minorHAnsi" w:cstheme="minorHAnsi"/>
          <w:sz w:val="16"/>
          <w:szCs w:val="16"/>
        </w:rPr>
        <w:footnoteRef/>
      </w:r>
      <w:r w:rsidRPr="00D27C96">
        <w:rPr>
          <w:sz w:val="16"/>
          <w:szCs w:val="16"/>
        </w:rPr>
        <w:t xml:space="preserve"> </w:t>
      </w:r>
      <w:r w:rsidRPr="00D27C96">
        <w:rPr>
          <w:rFonts w:ascii="Calibri" w:hAnsi="Calibri" w:cs="Calibri"/>
          <w:i/>
          <w:iCs/>
          <w:color w:val="000000"/>
          <w:sz w:val="16"/>
          <w:szCs w:val="16"/>
        </w:rPr>
        <w:t xml:space="preserve">Papers Relating to the City of New </w:t>
      </w:r>
      <w:proofErr w:type="gramStart"/>
      <w:r w:rsidRPr="00D27C96">
        <w:rPr>
          <w:rFonts w:ascii="Calibri" w:hAnsi="Calibri" w:cs="Calibri"/>
          <w:i/>
          <w:iCs/>
          <w:color w:val="000000"/>
          <w:sz w:val="16"/>
          <w:szCs w:val="16"/>
        </w:rPr>
        <w:t>York</w:t>
      </w:r>
      <w:r w:rsidRPr="00D27C96">
        <w:rPr>
          <w:rFonts w:ascii="Calibri" w:hAnsi="Calibri" w:cs="Calibri"/>
          <w:color w:val="000000"/>
          <w:sz w:val="16"/>
          <w:szCs w:val="16"/>
        </w:rPr>
        <w:t xml:space="preserve"> .</w:t>
      </w:r>
      <w:proofErr w:type="gramEnd"/>
      <w:r w:rsidRPr="00D27C96">
        <w:rPr>
          <w:rFonts w:ascii="Calibri" w:hAnsi="Calibri" w:cs="Calibri"/>
          <w:color w:val="000000"/>
          <w:sz w:val="16"/>
          <w:szCs w:val="16"/>
        </w:rPr>
        <w:t xml:space="preserve">  Excerpted from O’Callaghan, E. B. (ed) </w:t>
      </w:r>
      <w:r w:rsidRPr="00D27C96">
        <w:rPr>
          <w:rFonts w:ascii="Calibri" w:hAnsi="Calibri" w:cs="Calibri"/>
          <w:i/>
          <w:iCs/>
          <w:color w:val="000000"/>
          <w:sz w:val="16"/>
          <w:szCs w:val="16"/>
        </w:rPr>
        <w:t>Documentary History of the State of New York</w:t>
      </w:r>
      <w:r w:rsidRPr="00D27C96">
        <w:rPr>
          <w:rFonts w:ascii="Calibri" w:hAnsi="Calibri" w:cs="Calibri"/>
          <w:color w:val="000000"/>
          <w:sz w:val="16"/>
          <w:szCs w:val="16"/>
        </w:rPr>
        <w:t>, Albany NY, 1849, p. 405.</w:t>
      </w:r>
      <w:r w:rsidR="00887DB8" w:rsidRPr="00D27C96">
        <w:rPr>
          <w:rFonts w:ascii="Calibri" w:hAnsi="Calibri" w:cs="Calibri"/>
          <w:color w:val="000000"/>
          <w:sz w:val="16"/>
          <w:szCs w:val="16"/>
        </w:rPr>
        <w:t xml:space="preserve">  </w:t>
      </w:r>
    </w:p>
  </w:footnote>
  <w:footnote w:id="49">
    <w:p w14:paraId="6CBB504D" w14:textId="334C4B2C" w:rsidR="009A0A7A" w:rsidRPr="0027294F" w:rsidRDefault="009A0A7A">
      <w:pPr>
        <w:pStyle w:val="FootnoteText"/>
        <w:rPr>
          <w:sz w:val="16"/>
          <w:szCs w:val="16"/>
        </w:rPr>
      </w:pPr>
      <w:r w:rsidRPr="0027294F">
        <w:rPr>
          <w:rStyle w:val="FootnoteReference"/>
          <w:sz w:val="16"/>
          <w:szCs w:val="16"/>
        </w:rPr>
        <w:footnoteRef/>
      </w:r>
      <w:r w:rsidRPr="0027294F">
        <w:rPr>
          <w:sz w:val="16"/>
          <w:szCs w:val="16"/>
        </w:rPr>
        <w:t xml:space="preserve"> Riker, James.  </w:t>
      </w:r>
      <w:r w:rsidRPr="0027294F">
        <w:rPr>
          <w:i/>
          <w:iCs/>
          <w:sz w:val="16"/>
          <w:szCs w:val="16"/>
        </w:rPr>
        <w:t>Revised History of Harlem (City of New York): Its Origins and Early Annals Prefaced by Home Scenes in the Fatherlands; or Notices of Its Founders Before Emigration</w:t>
      </w:r>
      <w:r w:rsidRPr="0027294F">
        <w:rPr>
          <w:sz w:val="16"/>
          <w:szCs w:val="16"/>
        </w:rPr>
        <w:t>.  New York, 1904, pp. 592n, 545n.</w:t>
      </w:r>
    </w:p>
  </w:footnote>
  <w:footnote w:id="50">
    <w:p w14:paraId="243F1091" w14:textId="4FB56FE4" w:rsidR="00AF4973" w:rsidRPr="00512BEA" w:rsidRDefault="002531D0" w:rsidP="00BC24E3">
      <w:pPr>
        <w:pStyle w:val="FootnoteText"/>
        <w:rPr>
          <w:sz w:val="16"/>
          <w:szCs w:val="16"/>
        </w:rPr>
      </w:pPr>
      <w:r w:rsidRPr="002531D0">
        <w:rPr>
          <w:vertAlign w:val="superscript"/>
        </w:rPr>
        <w:t>50</w:t>
      </w:r>
      <w:r>
        <w:rPr>
          <w:sz w:val="16"/>
          <w:szCs w:val="16"/>
        </w:rPr>
        <w:t xml:space="preserve"> Stokes</w:t>
      </w:r>
      <w:r w:rsidR="00992757" w:rsidRPr="00992757">
        <w:rPr>
          <w:i/>
          <w:iCs/>
          <w:sz w:val="16"/>
          <w:szCs w:val="16"/>
        </w:rPr>
        <w:t xml:space="preserve">, </w:t>
      </w:r>
      <w:proofErr w:type="spellStart"/>
      <w:r w:rsidR="00992757" w:rsidRPr="00992757">
        <w:rPr>
          <w:i/>
          <w:iCs/>
          <w:sz w:val="16"/>
          <w:szCs w:val="16"/>
        </w:rPr>
        <w:t>op.cit</w:t>
      </w:r>
      <w:proofErr w:type="spellEnd"/>
      <w:r w:rsidR="00992757">
        <w:rPr>
          <w:sz w:val="16"/>
          <w:szCs w:val="16"/>
        </w:rPr>
        <w:t>.,</w:t>
      </w:r>
      <w:r w:rsidR="00992757" w:rsidRPr="00D45D80">
        <w:rPr>
          <w:sz w:val="16"/>
          <w:szCs w:val="16"/>
        </w:rPr>
        <w:t xml:space="preserve"> Vol 4. Chronology Nov 27, 1658</w:t>
      </w:r>
      <w:r w:rsidR="00A17066">
        <w:rPr>
          <w:sz w:val="16"/>
          <w:szCs w:val="16"/>
        </w:rPr>
        <w:t xml:space="preserve">.  </w:t>
      </w:r>
      <w:r w:rsidR="00455425">
        <w:rPr>
          <w:sz w:val="16"/>
          <w:szCs w:val="16"/>
        </w:rPr>
        <w:t>There is a legend that New Harlem was so named to avoid strife after Stuyvesant determined that none of its settlers were from the original Harlem.  More likely, the name honors old Harlem for its resistance to the Spanish siege of 1572-3.</w:t>
      </w:r>
    </w:p>
  </w:footnote>
  <w:footnote w:id="51">
    <w:p w14:paraId="226B53BC" w14:textId="46594BEA" w:rsidR="00AF4973" w:rsidRPr="00131456" w:rsidRDefault="00AF4973" w:rsidP="00BC24E3">
      <w:pPr>
        <w:pStyle w:val="FootnoteText"/>
        <w:rPr>
          <w:sz w:val="16"/>
          <w:szCs w:val="16"/>
        </w:rPr>
      </w:pPr>
      <w:r>
        <w:rPr>
          <w:rStyle w:val="FootnoteReference"/>
        </w:rPr>
        <w:footnoteRef/>
      </w:r>
      <w:r>
        <w:t xml:space="preserve"> </w:t>
      </w:r>
      <w:proofErr w:type="spellStart"/>
      <w:r w:rsidRPr="00131456">
        <w:rPr>
          <w:sz w:val="16"/>
          <w:szCs w:val="16"/>
        </w:rPr>
        <w:t>Danckaerts</w:t>
      </w:r>
      <w:proofErr w:type="spellEnd"/>
      <w:r w:rsidRPr="00131456">
        <w:rPr>
          <w:sz w:val="16"/>
          <w:szCs w:val="16"/>
        </w:rPr>
        <w:t xml:space="preserve">, believed that New Harlem itself was so named because it its distance from New Amsterdam was </w:t>
      </w:r>
      <w:proofErr w:type="gramStart"/>
      <w:r w:rsidRPr="00131456">
        <w:rPr>
          <w:sz w:val="16"/>
          <w:szCs w:val="16"/>
        </w:rPr>
        <w:t>similar to</w:t>
      </w:r>
      <w:proofErr w:type="gramEnd"/>
      <w:r w:rsidRPr="00131456">
        <w:rPr>
          <w:sz w:val="16"/>
          <w:szCs w:val="16"/>
        </w:rPr>
        <w:t xml:space="preserve"> the distance between their namesakes in the N</w:t>
      </w:r>
      <w:r>
        <w:rPr>
          <w:sz w:val="16"/>
          <w:szCs w:val="16"/>
        </w:rPr>
        <w:t>e</w:t>
      </w:r>
      <w:r w:rsidRPr="00131456">
        <w:rPr>
          <w:sz w:val="16"/>
          <w:szCs w:val="16"/>
        </w:rPr>
        <w:t>therlands.</w:t>
      </w:r>
    </w:p>
  </w:footnote>
  <w:footnote w:id="52">
    <w:p w14:paraId="0BE46BA7" w14:textId="1F493D55" w:rsidR="00F335C0" w:rsidRDefault="00F335C0">
      <w:pPr>
        <w:pStyle w:val="FootnoteText"/>
      </w:pPr>
      <w:r>
        <w:rPr>
          <w:rStyle w:val="FootnoteReference"/>
        </w:rPr>
        <w:footnoteRef/>
      </w:r>
      <w:r>
        <w:t xml:space="preserve"> </w:t>
      </w:r>
      <w:r w:rsidRPr="00F335C0">
        <w:rPr>
          <w:sz w:val="16"/>
          <w:szCs w:val="16"/>
        </w:rPr>
        <w:t xml:space="preserve">Stokes, </w:t>
      </w:r>
      <w:r w:rsidRPr="00F335C0">
        <w:rPr>
          <w:i/>
          <w:iCs/>
          <w:sz w:val="16"/>
          <w:szCs w:val="16"/>
        </w:rPr>
        <w:t>op. cit</w:t>
      </w:r>
      <w:r w:rsidRPr="00F335C0">
        <w:rPr>
          <w:sz w:val="16"/>
          <w:szCs w:val="16"/>
        </w:rPr>
        <w:t>., Vol. VI, p. 21</w:t>
      </w:r>
    </w:p>
  </w:footnote>
  <w:footnote w:id="53">
    <w:p w14:paraId="1C0218C7" w14:textId="6153A369" w:rsidR="00A17066" w:rsidRDefault="00A17066">
      <w:pPr>
        <w:pStyle w:val="FootnoteText"/>
      </w:pPr>
      <w:r>
        <w:rPr>
          <w:rStyle w:val="FootnoteReference"/>
        </w:rPr>
        <w:footnoteRef/>
      </w:r>
      <w:r>
        <w:t xml:space="preserve"> </w:t>
      </w:r>
      <w:r w:rsidRPr="00A17066">
        <w:rPr>
          <w:sz w:val="16"/>
          <w:szCs w:val="16"/>
        </w:rPr>
        <w:t xml:space="preserve">Purple, Samuel S. (ed.) </w:t>
      </w:r>
      <w:r w:rsidRPr="00A17066">
        <w:rPr>
          <w:i/>
          <w:iCs/>
          <w:sz w:val="16"/>
          <w:szCs w:val="16"/>
        </w:rPr>
        <w:t>Collections of the New-York Genealogical and Biographical Society, Vol. I.: Marriages from 1639 to 1801 in the Dutch Reformed Church, New York</w:t>
      </w:r>
      <w:r w:rsidRPr="00A17066">
        <w:rPr>
          <w:sz w:val="16"/>
          <w:szCs w:val="16"/>
        </w:rPr>
        <w:t>. Published by the Society.  New York, 1890, p. 64.</w:t>
      </w:r>
    </w:p>
  </w:footnote>
  <w:footnote w:id="54">
    <w:p w14:paraId="70B07EEB" w14:textId="30971F61" w:rsidR="008842B1" w:rsidRDefault="008842B1" w:rsidP="008842B1">
      <w:pPr>
        <w:pStyle w:val="FootnoteText"/>
      </w:pPr>
      <w:r>
        <w:rPr>
          <w:rStyle w:val="FootnoteReference"/>
        </w:rPr>
        <w:footnoteRef/>
      </w:r>
      <w:r>
        <w:t xml:space="preserve"> </w:t>
      </w:r>
      <w:r w:rsidRPr="00E22B2D">
        <w:rPr>
          <w:sz w:val="16"/>
          <w:szCs w:val="16"/>
        </w:rPr>
        <w:t xml:space="preserve">Other toponymic surnames among these former slaves included </w:t>
      </w:r>
      <w:proofErr w:type="spellStart"/>
      <w:r w:rsidRPr="00E22B2D">
        <w:rPr>
          <w:sz w:val="16"/>
          <w:szCs w:val="16"/>
        </w:rPr>
        <w:t>Santome</w:t>
      </w:r>
      <w:proofErr w:type="spellEnd"/>
      <w:r w:rsidRPr="00E22B2D">
        <w:rPr>
          <w:sz w:val="16"/>
          <w:szCs w:val="16"/>
        </w:rPr>
        <w:t xml:space="preserve"> (from Sao Tome), Portuguese, </w:t>
      </w:r>
      <w:proofErr w:type="spellStart"/>
      <w:r w:rsidRPr="00E22B2D">
        <w:rPr>
          <w:sz w:val="16"/>
          <w:szCs w:val="16"/>
        </w:rPr>
        <w:t>Spagnie</w:t>
      </w:r>
      <w:proofErr w:type="spellEnd"/>
      <w:r w:rsidRPr="00E22B2D">
        <w:rPr>
          <w:sz w:val="16"/>
          <w:szCs w:val="16"/>
        </w:rPr>
        <w:t>, Cartagena, and Congo.  The Company’s policy toward former slaves was not entirely benevolent.  The plots they were given were along the main approach to the city, making them a buffer and early warning system in the event of an Indian attack from the north.  In addition, while the former slaves might be free, they might still owe some part-time service to the Company, and children born to them might still be slaves.</w:t>
      </w:r>
    </w:p>
  </w:footnote>
  <w:footnote w:id="55">
    <w:p w14:paraId="7C36A9C5" w14:textId="67EE5EB0" w:rsidR="00AF4973" w:rsidRPr="00DF5DF5" w:rsidRDefault="00AF4973" w:rsidP="00F96343">
      <w:pPr>
        <w:spacing w:after="0" w:line="240" w:lineRule="auto"/>
        <w:rPr>
          <w:sz w:val="16"/>
          <w:szCs w:val="16"/>
        </w:rPr>
      </w:pPr>
      <w:r w:rsidRPr="00DF5DF5">
        <w:rPr>
          <w:rStyle w:val="FootnoteReference"/>
          <w:sz w:val="16"/>
          <w:szCs w:val="16"/>
        </w:rPr>
        <w:footnoteRef/>
      </w:r>
      <w:r w:rsidRPr="00DF5DF5">
        <w:rPr>
          <w:sz w:val="16"/>
          <w:szCs w:val="16"/>
        </w:rPr>
        <w:t xml:space="preserve"> </w:t>
      </w:r>
      <w:r w:rsidR="00F0045B" w:rsidRPr="00DF5DF5">
        <w:rPr>
          <w:sz w:val="16"/>
          <w:szCs w:val="16"/>
        </w:rPr>
        <w:t xml:space="preserve">Stokes, </w:t>
      </w:r>
      <w:r w:rsidR="00F0045B" w:rsidRPr="00DF5DF5">
        <w:rPr>
          <w:i/>
          <w:iCs/>
          <w:sz w:val="16"/>
          <w:szCs w:val="16"/>
        </w:rPr>
        <w:t>op. cit</w:t>
      </w:r>
      <w:r w:rsidR="00F0045B" w:rsidRPr="00DF5DF5">
        <w:rPr>
          <w:sz w:val="16"/>
          <w:szCs w:val="16"/>
        </w:rPr>
        <w:t>. Vol. VI, Pl. 84B.</w:t>
      </w:r>
    </w:p>
  </w:footnote>
  <w:footnote w:id="56">
    <w:p w14:paraId="22D9D77A" w14:textId="4AEA262D" w:rsidR="009B2778" w:rsidRPr="00DF5DF5" w:rsidRDefault="009B2778">
      <w:pPr>
        <w:pStyle w:val="FootnoteText"/>
        <w:rPr>
          <w:sz w:val="16"/>
          <w:szCs w:val="16"/>
        </w:rPr>
      </w:pPr>
      <w:r w:rsidRPr="00DF5DF5">
        <w:rPr>
          <w:rStyle w:val="FootnoteReference"/>
          <w:sz w:val="16"/>
          <w:szCs w:val="16"/>
        </w:rPr>
        <w:footnoteRef/>
      </w:r>
      <w:r w:rsidRPr="00DF5DF5">
        <w:rPr>
          <w:sz w:val="16"/>
          <w:szCs w:val="16"/>
        </w:rPr>
        <w:t xml:space="preserve"> </w:t>
      </w:r>
      <w:r w:rsidRPr="00DF5DF5">
        <w:rPr>
          <w:i/>
          <w:iCs/>
          <w:sz w:val="16"/>
          <w:szCs w:val="16"/>
        </w:rPr>
        <w:t>Ibid.,</w:t>
      </w:r>
      <w:r w:rsidRPr="00DF5DF5">
        <w:rPr>
          <w:sz w:val="16"/>
          <w:szCs w:val="16"/>
        </w:rPr>
        <w:t xml:space="preserve"> p. 97</w:t>
      </w:r>
      <w:r w:rsidR="00B53987" w:rsidRPr="00DF5DF5">
        <w:rPr>
          <w:sz w:val="16"/>
          <w:szCs w:val="16"/>
        </w:rPr>
        <w:t>.</w:t>
      </w:r>
    </w:p>
  </w:footnote>
  <w:footnote w:id="57">
    <w:p w14:paraId="1693CC19" w14:textId="3D9EC0BD" w:rsidR="00F0045B" w:rsidRDefault="00F0045B">
      <w:pPr>
        <w:pStyle w:val="FootnoteText"/>
      </w:pPr>
      <w:r w:rsidRPr="00DF5DF5">
        <w:rPr>
          <w:rStyle w:val="FootnoteReference"/>
          <w:sz w:val="16"/>
          <w:szCs w:val="16"/>
        </w:rPr>
        <w:footnoteRef/>
      </w:r>
      <w:r w:rsidRPr="00DF5DF5">
        <w:rPr>
          <w:sz w:val="16"/>
          <w:szCs w:val="16"/>
        </w:rPr>
        <w:t xml:space="preserve"> </w:t>
      </w:r>
      <w:r w:rsidR="009B2778" w:rsidRPr="00DF5DF5">
        <w:rPr>
          <w:sz w:val="16"/>
          <w:szCs w:val="16"/>
        </w:rPr>
        <w:t xml:space="preserve">Riker, </w:t>
      </w:r>
      <w:r w:rsidR="009B2778" w:rsidRPr="00DF5DF5">
        <w:rPr>
          <w:i/>
          <w:iCs/>
          <w:sz w:val="16"/>
          <w:szCs w:val="16"/>
        </w:rPr>
        <w:t>op. cit</w:t>
      </w:r>
      <w:r w:rsidR="009B2778" w:rsidRPr="00DF5DF5">
        <w:rPr>
          <w:sz w:val="16"/>
          <w:szCs w:val="16"/>
        </w:rPr>
        <w:t>., p. 368n</w:t>
      </w:r>
      <w:r w:rsidR="009B2778" w:rsidRPr="009B2778">
        <w:rPr>
          <w:sz w:val="16"/>
          <w:szCs w:val="16"/>
        </w:rPr>
        <w:t>.</w:t>
      </w:r>
    </w:p>
  </w:footnote>
  <w:footnote w:id="58">
    <w:p w14:paraId="79DC0452" w14:textId="09BDC22C" w:rsidR="009B2778" w:rsidRPr="00E45991" w:rsidRDefault="009B2778">
      <w:pPr>
        <w:pStyle w:val="FootnoteText"/>
        <w:rPr>
          <w:sz w:val="16"/>
          <w:szCs w:val="16"/>
        </w:rPr>
      </w:pPr>
      <w:r w:rsidRPr="00E45991">
        <w:rPr>
          <w:rStyle w:val="FootnoteReference"/>
          <w:sz w:val="16"/>
          <w:szCs w:val="16"/>
        </w:rPr>
        <w:footnoteRef/>
      </w:r>
      <w:r w:rsidRPr="00E45991">
        <w:rPr>
          <w:sz w:val="16"/>
          <w:szCs w:val="16"/>
        </w:rPr>
        <w:t xml:space="preserve"> Stokes, </w:t>
      </w:r>
      <w:r w:rsidRPr="00E45991">
        <w:rPr>
          <w:i/>
          <w:iCs/>
          <w:sz w:val="16"/>
          <w:szCs w:val="16"/>
        </w:rPr>
        <w:t>op. cit</w:t>
      </w:r>
      <w:r w:rsidRPr="00E45991">
        <w:rPr>
          <w:sz w:val="16"/>
          <w:szCs w:val="16"/>
        </w:rPr>
        <w:t>. Vol VI, p. 97.</w:t>
      </w:r>
    </w:p>
  </w:footnote>
  <w:footnote w:id="59">
    <w:p w14:paraId="7C89E7B5" w14:textId="6AA035D8" w:rsidR="009B7551" w:rsidRPr="00E45991" w:rsidRDefault="009B7551">
      <w:pPr>
        <w:pStyle w:val="FootnoteText"/>
        <w:rPr>
          <w:sz w:val="16"/>
          <w:szCs w:val="16"/>
        </w:rPr>
      </w:pPr>
      <w:r w:rsidRPr="00E45991">
        <w:rPr>
          <w:rStyle w:val="FootnoteReference"/>
          <w:sz w:val="16"/>
          <w:szCs w:val="16"/>
        </w:rPr>
        <w:footnoteRef/>
      </w:r>
      <w:r w:rsidRPr="00E45991">
        <w:rPr>
          <w:sz w:val="16"/>
          <w:szCs w:val="16"/>
        </w:rPr>
        <w:t xml:space="preserve"> Riker, </w:t>
      </w:r>
      <w:r w:rsidRPr="00E45991">
        <w:rPr>
          <w:i/>
          <w:iCs/>
          <w:sz w:val="16"/>
          <w:szCs w:val="16"/>
        </w:rPr>
        <w:t>op. cit</w:t>
      </w:r>
      <w:r w:rsidRPr="00E45991">
        <w:rPr>
          <w:sz w:val="16"/>
          <w:szCs w:val="16"/>
        </w:rPr>
        <w:t>.,</w:t>
      </w:r>
      <w:r w:rsidR="003039EE" w:rsidRPr="00E45991">
        <w:rPr>
          <w:sz w:val="16"/>
          <w:szCs w:val="16"/>
        </w:rPr>
        <w:t xml:space="preserve"> p. 368n</w:t>
      </w:r>
    </w:p>
  </w:footnote>
  <w:footnote w:id="60">
    <w:p w14:paraId="0D3291EE" w14:textId="7AF72233" w:rsidR="003039EE" w:rsidRPr="00455425" w:rsidRDefault="003039EE" w:rsidP="003039EE">
      <w:pPr>
        <w:pStyle w:val="FootnoteText"/>
        <w:rPr>
          <w:sz w:val="16"/>
          <w:szCs w:val="16"/>
        </w:rPr>
      </w:pPr>
      <w:r w:rsidRPr="00E45991">
        <w:rPr>
          <w:rStyle w:val="FootnoteReference"/>
          <w:sz w:val="16"/>
          <w:szCs w:val="16"/>
        </w:rPr>
        <w:footnoteRef/>
      </w:r>
      <w:r w:rsidRPr="00E45991">
        <w:rPr>
          <w:sz w:val="16"/>
          <w:szCs w:val="16"/>
        </w:rPr>
        <w:t xml:space="preserve"> Stokes, </w:t>
      </w:r>
      <w:r w:rsidRPr="00E45991">
        <w:rPr>
          <w:i/>
          <w:iCs/>
          <w:sz w:val="16"/>
          <w:szCs w:val="16"/>
        </w:rPr>
        <w:t>op. cit</w:t>
      </w:r>
      <w:r w:rsidRPr="00E45991">
        <w:rPr>
          <w:sz w:val="16"/>
          <w:szCs w:val="16"/>
        </w:rPr>
        <w:t>. Vol. VI, p. 98</w:t>
      </w:r>
      <w:r w:rsidR="00455425" w:rsidRPr="00455425">
        <w:rPr>
          <w:sz w:val="16"/>
          <w:szCs w:val="16"/>
        </w:rPr>
        <w:t xml:space="preserve">. Stokes describes disputes over the boundary between Harlem and </w:t>
      </w:r>
      <w:proofErr w:type="spellStart"/>
      <w:r w:rsidR="00455425" w:rsidRPr="00455425">
        <w:rPr>
          <w:sz w:val="16"/>
          <w:szCs w:val="16"/>
        </w:rPr>
        <w:t>DeKey</w:t>
      </w:r>
      <w:proofErr w:type="spellEnd"/>
      <w:r w:rsidR="00455425" w:rsidRPr="00455425">
        <w:rPr>
          <w:sz w:val="16"/>
          <w:szCs w:val="16"/>
        </w:rPr>
        <w:t xml:space="preserve"> (and later Hoogland and </w:t>
      </w:r>
      <w:proofErr w:type="spellStart"/>
      <w:r w:rsidR="00455425" w:rsidRPr="00455425">
        <w:rPr>
          <w:sz w:val="16"/>
          <w:szCs w:val="16"/>
        </w:rPr>
        <w:t>Vandewater</w:t>
      </w:r>
      <w:proofErr w:type="spellEnd"/>
      <w:r w:rsidR="00455425" w:rsidRPr="00455425">
        <w:rPr>
          <w:sz w:val="16"/>
          <w:szCs w:val="16"/>
        </w:rPr>
        <w:t>).  Because the Harlem Line ran due south from 129</w:t>
      </w:r>
      <w:r w:rsidR="00455425" w:rsidRPr="00455425">
        <w:rPr>
          <w:sz w:val="16"/>
          <w:szCs w:val="16"/>
          <w:vertAlign w:val="superscript"/>
        </w:rPr>
        <w:t>th</w:t>
      </w:r>
      <w:r w:rsidR="00455425" w:rsidRPr="00455425">
        <w:rPr>
          <w:sz w:val="16"/>
          <w:szCs w:val="16"/>
        </w:rPr>
        <w:t xml:space="preserve"> St., it cut off some slivers of farmland at the foot of the hills between 107</w:t>
      </w:r>
      <w:r w:rsidR="00455425" w:rsidRPr="00455425">
        <w:rPr>
          <w:sz w:val="16"/>
          <w:szCs w:val="16"/>
          <w:vertAlign w:val="superscript"/>
        </w:rPr>
        <w:t>th</w:t>
      </w:r>
      <w:r w:rsidR="00455425" w:rsidRPr="00455425">
        <w:rPr>
          <w:sz w:val="16"/>
          <w:szCs w:val="16"/>
        </w:rPr>
        <w:t xml:space="preserve"> and 116</w:t>
      </w:r>
      <w:r w:rsidR="00455425" w:rsidRPr="00455425">
        <w:rPr>
          <w:sz w:val="16"/>
          <w:szCs w:val="16"/>
          <w:vertAlign w:val="superscript"/>
        </w:rPr>
        <w:t>th</w:t>
      </w:r>
      <w:r w:rsidR="00455425" w:rsidRPr="00455425">
        <w:rPr>
          <w:sz w:val="16"/>
          <w:szCs w:val="16"/>
        </w:rPr>
        <w:t xml:space="preserve"> Streets.  The boundary was eventually adjusted to reflect topography.</w:t>
      </w:r>
    </w:p>
  </w:footnote>
  <w:footnote w:id="61">
    <w:p w14:paraId="209470EB" w14:textId="611020E5" w:rsidR="003039EE" w:rsidRPr="00E45991" w:rsidRDefault="003039EE">
      <w:pPr>
        <w:pStyle w:val="FootnoteText"/>
        <w:rPr>
          <w:sz w:val="16"/>
          <w:szCs w:val="16"/>
        </w:rPr>
      </w:pPr>
      <w:r w:rsidRPr="00E45991">
        <w:rPr>
          <w:rStyle w:val="FootnoteReference"/>
          <w:sz w:val="16"/>
          <w:szCs w:val="16"/>
        </w:rPr>
        <w:footnoteRef/>
      </w:r>
      <w:r w:rsidRPr="00E45991">
        <w:rPr>
          <w:sz w:val="16"/>
          <w:szCs w:val="16"/>
        </w:rPr>
        <w:t xml:space="preserve"> </w:t>
      </w:r>
      <w:r w:rsidRPr="00E45991">
        <w:rPr>
          <w:i/>
          <w:iCs/>
          <w:sz w:val="16"/>
          <w:szCs w:val="16"/>
        </w:rPr>
        <w:t>Ibid</w:t>
      </w:r>
      <w:r w:rsidRPr="00E45991">
        <w:rPr>
          <w:sz w:val="16"/>
          <w:szCs w:val="16"/>
        </w:rPr>
        <w:t>., pp. 97-98.</w:t>
      </w:r>
    </w:p>
  </w:footnote>
  <w:footnote w:id="62">
    <w:p w14:paraId="4996C7A3" w14:textId="7772C61F" w:rsidR="00586330" w:rsidRPr="00E45991" w:rsidRDefault="00586330" w:rsidP="00586330">
      <w:pPr>
        <w:pStyle w:val="FootnoteText"/>
        <w:rPr>
          <w:sz w:val="16"/>
          <w:szCs w:val="16"/>
        </w:rPr>
      </w:pPr>
      <w:r w:rsidRPr="00E45991">
        <w:rPr>
          <w:rStyle w:val="FootnoteReference"/>
          <w:sz w:val="16"/>
          <w:szCs w:val="16"/>
        </w:rPr>
        <w:footnoteRef/>
      </w:r>
      <w:r w:rsidRPr="00E45991">
        <w:rPr>
          <w:sz w:val="16"/>
          <w:szCs w:val="16"/>
        </w:rPr>
        <w:t xml:space="preserve"> </w:t>
      </w:r>
      <w:r w:rsidR="003039EE" w:rsidRPr="00E45991">
        <w:rPr>
          <w:i/>
          <w:iCs/>
          <w:sz w:val="16"/>
          <w:szCs w:val="16"/>
        </w:rPr>
        <w:t>Ibid</w:t>
      </w:r>
      <w:r w:rsidR="003039EE" w:rsidRPr="00E45991">
        <w:rPr>
          <w:sz w:val="16"/>
          <w:szCs w:val="16"/>
        </w:rPr>
        <w:t xml:space="preserve">., pp. </w:t>
      </w:r>
      <w:r w:rsidRPr="00E45991">
        <w:rPr>
          <w:sz w:val="16"/>
          <w:szCs w:val="16"/>
        </w:rPr>
        <w:t>69-177.</w:t>
      </w:r>
    </w:p>
  </w:footnote>
  <w:footnote w:id="63">
    <w:p w14:paraId="387591AE" w14:textId="2272F03F" w:rsidR="00586330" w:rsidRPr="00F96343" w:rsidRDefault="00586330" w:rsidP="008B6374">
      <w:pPr>
        <w:pStyle w:val="FootnoteText"/>
        <w:contextualSpacing/>
        <w:rPr>
          <w:sz w:val="16"/>
          <w:szCs w:val="16"/>
        </w:rPr>
      </w:pPr>
      <w:r w:rsidRPr="00F96343">
        <w:rPr>
          <w:rStyle w:val="FootnoteReference"/>
          <w:sz w:val="16"/>
          <w:szCs w:val="16"/>
        </w:rPr>
        <w:footnoteRef/>
      </w:r>
      <w:r w:rsidRPr="00F96343">
        <w:rPr>
          <w:sz w:val="16"/>
          <w:szCs w:val="16"/>
        </w:rPr>
        <w:t xml:space="preserve"> Until 1874, when it annexed part of the Bronx, New York City consisted only of Manhattan Island and various smaller islands in New York Harbor and the East River</w:t>
      </w:r>
      <w:r w:rsidR="00E45991" w:rsidRPr="00F96343">
        <w:rPr>
          <w:sz w:val="16"/>
          <w:szCs w:val="16"/>
        </w:rPr>
        <w:t>; it was also</w:t>
      </w:r>
      <w:r w:rsidRPr="00F96343">
        <w:rPr>
          <w:sz w:val="16"/>
          <w:szCs w:val="16"/>
        </w:rPr>
        <w:t xml:space="preserve"> coterminous with New York County.  While the city was further expanded in 1895 and again in 1898, the boundaries of New York County are </w:t>
      </w:r>
      <w:r w:rsidR="00E45991" w:rsidRPr="00F96343">
        <w:rPr>
          <w:sz w:val="16"/>
          <w:szCs w:val="16"/>
        </w:rPr>
        <w:t xml:space="preserve">essentially </w:t>
      </w:r>
      <w:r w:rsidRPr="00F96343">
        <w:rPr>
          <w:sz w:val="16"/>
          <w:szCs w:val="16"/>
        </w:rPr>
        <w:t xml:space="preserve">the same as they were in British colonial times. </w:t>
      </w:r>
    </w:p>
  </w:footnote>
  <w:footnote w:id="64">
    <w:p w14:paraId="43A074DC" w14:textId="29587BE2" w:rsidR="00586330" w:rsidRPr="00F96343" w:rsidRDefault="00586330" w:rsidP="008B6374">
      <w:pPr>
        <w:spacing w:after="0"/>
        <w:contextualSpacing/>
        <w:rPr>
          <w:sz w:val="16"/>
          <w:szCs w:val="16"/>
        </w:rPr>
      </w:pPr>
      <w:r w:rsidRPr="00F96343">
        <w:rPr>
          <w:rStyle w:val="FootnoteReference"/>
          <w:sz w:val="16"/>
          <w:szCs w:val="16"/>
        </w:rPr>
        <w:footnoteRef/>
      </w:r>
      <w:r w:rsidRPr="00F96343">
        <w:rPr>
          <w:sz w:val="16"/>
          <w:szCs w:val="16"/>
        </w:rPr>
        <w:t xml:space="preserve"> Probably the largest concentration of population in the Bowery Division was </w:t>
      </w:r>
      <w:r w:rsidR="003039EE" w:rsidRPr="00F96343">
        <w:rPr>
          <w:sz w:val="16"/>
          <w:szCs w:val="16"/>
        </w:rPr>
        <w:t xml:space="preserve">immediately </w:t>
      </w:r>
      <w:r w:rsidRPr="00F96343">
        <w:rPr>
          <w:sz w:val="16"/>
          <w:szCs w:val="16"/>
        </w:rPr>
        <w:t>west of the Bowery, between Stanton and 14</w:t>
      </w:r>
      <w:r w:rsidRPr="00F96343">
        <w:rPr>
          <w:sz w:val="16"/>
          <w:szCs w:val="16"/>
          <w:vertAlign w:val="superscript"/>
        </w:rPr>
        <w:t>th</w:t>
      </w:r>
      <w:r w:rsidRPr="00F96343">
        <w:rPr>
          <w:sz w:val="16"/>
          <w:szCs w:val="16"/>
        </w:rPr>
        <w:t xml:space="preserve"> Streets, where numerous small grants had been made </w:t>
      </w:r>
      <w:r w:rsidR="00A07EDE">
        <w:rPr>
          <w:sz w:val="16"/>
          <w:szCs w:val="16"/>
        </w:rPr>
        <w:t xml:space="preserve">by Peter Stuyvesant </w:t>
      </w:r>
      <w:r w:rsidRPr="00F96343">
        <w:rPr>
          <w:sz w:val="16"/>
          <w:szCs w:val="16"/>
        </w:rPr>
        <w:t xml:space="preserve">to </w:t>
      </w:r>
      <w:r w:rsidR="007A5DD0" w:rsidRPr="00F96343">
        <w:rPr>
          <w:sz w:val="16"/>
          <w:szCs w:val="16"/>
        </w:rPr>
        <w:t>former slaves</w:t>
      </w:r>
      <w:r w:rsidRPr="00F96343">
        <w:rPr>
          <w:sz w:val="16"/>
          <w:szCs w:val="16"/>
        </w:rPr>
        <w:t xml:space="preserve"> of the Dutch West India Company.  By the end of the 17</w:t>
      </w:r>
      <w:r w:rsidRPr="00F96343">
        <w:rPr>
          <w:sz w:val="16"/>
          <w:szCs w:val="16"/>
          <w:vertAlign w:val="superscript"/>
        </w:rPr>
        <w:t>th</w:t>
      </w:r>
      <w:r w:rsidRPr="00F96343">
        <w:rPr>
          <w:sz w:val="16"/>
          <w:szCs w:val="16"/>
        </w:rPr>
        <w:t xml:space="preserve"> Century, nearly </w:t>
      </w:r>
      <w:proofErr w:type="gramStart"/>
      <w:r w:rsidRPr="00F96343">
        <w:rPr>
          <w:sz w:val="16"/>
          <w:szCs w:val="16"/>
        </w:rPr>
        <w:t>all of</w:t>
      </w:r>
      <w:proofErr w:type="gramEnd"/>
      <w:r w:rsidRPr="00F96343">
        <w:rPr>
          <w:sz w:val="16"/>
          <w:szCs w:val="16"/>
        </w:rPr>
        <w:t xml:space="preserve"> the “Negro patents” had been acquired by white owners.  The east side of the Bowery in that stretch was the estate of the Stuyvesant family.  </w:t>
      </w:r>
    </w:p>
  </w:footnote>
  <w:footnote w:id="65">
    <w:p w14:paraId="1C238641" w14:textId="5AD70E58" w:rsidR="00ED6ECE" w:rsidRPr="00F96343" w:rsidRDefault="00ED6ECE">
      <w:pPr>
        <w:pStyle w:val="FootnoteText"/>
        <w:rPr>
          <w:sz w:val="16"/>
          <w:szCs w:val="16"/>
        </w:rPr>
      </w:pPr>
      <w:r w:rsidRPr="00F96343">
        <w:rPr>
          <w:rStyle w:val="FootnoteReference"/>
          <w:sz w:val="16"/>
          <w:szCs w:val="16"/>
        </w:rPr>
        <w:footnoteRef/>
      </w:r>
      <w:r w:rsidRPr="00F96343">
        <w:rPr>
          <w:sz w:val="16"/>
          <w:szCs w:val="16"/>
        </w:rPr>
        <w:t xml:space="preserve"> </w:t>
      </w:r>
      <w:r w:rsidRPr="00F96343">
        <w:rPr>
          <w:i/>
          <w:iCs/>
          <w:sz w:val="16"/>
          <w:szCs w:val="16"/>
        </w:rPr>
        <w:t>Papers Relating to the City of New York</w:t>
      </w:r>
      <w:r w:rsidRPr="00F96343">
        <w:rPr>
          <w:sz w:val="16"/>
          <w:szCs w:val="16"/>
        </w:rPr>
        <w:t>.  Excerpted from</w:t>
      </w:r>
      <w:r w:rsidR="00511921" w:rsidRPr="00F96343">
        <w:rPr>
          <w:sz w:val="16"/>
          <w:szCs w:val="16"/>
        </w:rPr>
        <w:t xml:space="preserve"> O’Callaghan, E. B.</w:t>
      </w:r>
      <w:r w:rsidR="00992715">
        <w:rPr>
          <w:sz w:val="16"/>
          <w:szCs w:val="16"/>
        </w:rPr>
        <w:t>,</w:t>
      </w:r>
      <w:r w:rsidR="00511921" w:rsidRPr="00F96343">
        <w:rPr>
          <w:sz w:val="16"/>
          <w:szCs w:val="16"/>
        </w:rPr>
        <w:t xml:space="preserve"> (ed)</w:t>
      </w:r>
      <w:r w:rsidR="00992715">
        <w:rPr>
          <w:sz w:val="16"/>
          <w:szCs w:val="16"/>
        </w:rPr>
        <w:t>,</w:t>
      </w:r>
      <w:r w:rsidR="00511921" w:rsidRPr="00F96343">
        <w:rPr>
          <w:sz w:val="16"/>
          <w:szCs w:val="16"/>
        </w:rPr>
        <w:t xml:space="preserve"> </w:t>
      </w:r>
      <w:r w:rsidRPr="00F96343">
        <w:rPr>
          <w:i/>
          <w:iCs/>
          <w:sz w:val="16"/>
          <w:szCs w:val="16"/>
        </w:rPr>
        <w:t>Documentary History of the State of New York</w:t>
      </w:r>
      <w:r w:rsidR="00511921" w:rsidRPr="00F96343">
        <w:rPr>
          <w:sz w:val="16"/>
          <w:szCs w:val="16"/>
        </w:rPr>
        <w:t xml:space="preserve">, </w:t>
      </w:r>
      <w:r w:rsidR="00EA172D">
        <w:rPr>
          <w:sz w:val="16"/>
          <w:szCs w:val="16"/>
        </w:rPr>
        <w:t xml:space="preserve">Vol. 1, </w:t>
      </w:r>
      <w:r w:rsidR="00511921" w:rsidRPr="00F96343">
        <w:rPr>
          <w:sz w:val="16"/>
          <w:szCs w:val="16"/>
        </w:rPr>
        <w:t>Albany NY, 18</w:t>
      </w:r>
      <w:r w:rsidR="007B445F">
        <w:rPr>
          <w:sz w:val="16"/>
          <w:szCs w:val="16"/>
        </w:rPr>
        <w:t>49</w:t>
      </w:r>
      <w:r w:rsidR="00511921" w:rsidRPr="00F96343">
        <w:rPr>
          <w:sz w:val="16"/>
          <w:szCs w:val="16"/>
        </w:rPr>
        <w:t xml:space="preserve">, p. </w:t>
      </w:r>
      <w:r w:rsidR="00EA172D">
        <w:rPr>
          <w:sz w:val="16"/>
          <w:szCs w:val="16"/>
        </w:rPr>
        <w:t>624</w:t>
      </w:r>
      <w:r w:rsidR="00511921" w:rsidRPr="00F96343">
        <w:rPr>
          <w:sz w:val="16"/>
          <w:szCs w:val="16"/>
        </w:rPr>
        <w:t>.</w:t>
      </w:r>
      <w:r w:rsidR="00EA172D">
        <w:rPr>
          <w:sz w:val="16"/>
          <w:szCs w:val="16"/>
        </w:rPr>
        <w:t xml:space="preserve"> </w:t>
      </w:r>
      <w:r w:rsidR="007B445F">
        <w:rPr>
          <w:sz w:val="16"/>
          <w:szCs w:val="16"/>
        </w:rPr>
        <w:t xml:space="preserve">[1849 is date on title page.  Hathi </w:t>
      </w:r>
      <w:r w:rsidR="00A07EDE">
        <w:rPr>
          <w:sz w:val="16"/>
          <w:szCs w:val="16"/>
        </w:rPr>
        <w:t xml:space="preserve">Trust </w:t>
      </w:r>
      <w:r w:rsidR="007B445F">
        <w:rPr>
          <w:sz w:val="16"/>
          <w:szCs w:val="16"/>
        </w:rPr>
        <w:t>catalog gives date 1851</w:t>
      </w:r>
      <w:r w:rsidR="00A07EDE">
        <w:rPr>
          <w:sz w:val="16"/>
          <w:szCs w:val="16"/>
        </w:rPr>
        <w:t>.]</w:t>
      </w:r>
    </w:p>
  </w:footnote>
  <w:footnote w:id="66">
    <w:p w14:paraId="184DE94A" w14:textId="3C9182D2" w:rsidR="00B3210F" w:rsidRPr="00F96343" w:rsidRDefault="00B3210F">
      <w:pPr>
        <w:pStyle w:val="FootnoteText"/>
        <w:rPr>
          <w:sz w:val="16"/>
          <w:szCs w:val="16"/>
        </w:rPr>
      </w:pPr>
      <w:r w:rsidRPr="00F96343">
        <w:rPr>
          <w:rStyle w:val="FootnoteReference"/>
          <w:sz w:val="16"/>
          <w:szCs w:val="16"/>
        </w:rPr>
        <w:footnoteRef/>
      </w:r>
      <w:r w:rsidRPr="00F96343">
        <w:rPr>
          <w:sz w:val="16"/>
          <w:szCs w:val="16"/>
        </w:rPr>
        <w:t xml:space="preserve"> The originals of these lists, though damaged even then, existed </w:t>
      </w:r>
      <w:r w:rsidR="00792359" w:rsidRPr="00F96343">
        <w:rPr>
          <w:sz w:val="16"/>
          <w:szCs w:val="16"/>
        </w:rPr>
        <w:t>when the below table was published</w:t>
      </w:r>
      <w:r w:rsidRPr="00F96343">
        <w:rPr>
          <w:sz w:val="16"/>
          <w:szCs w:val="16"/>
        </w:rPr>
        <w:t xml:space="preserve">.   Unfortunately, they were among the documents </w:t>
      </w:r>
      <w:r w:rsidR="00792359" w:rsidRPr="00F96343">
        <w:rPr>
          <w:sz w:val="16"/>
          <w:szCs w:val="16"/>
        </w:rPr>
        <w:t xml:space="preserve">burnt in a fire at the New York State Capitol in 1911.  The burnt fragments have been retained in a box in the New York State Archive but are not readable, (e-mail to G. </w:t>
      </w:r>
      <w:r w:rsidR="00F9787A" w:rsidRPr="00F96343">
        <w:rPr>
          <w:sz w:val="16"/>
          <w:szCs w:val="16"/>
        </w:rPr>
        <w:t>Tauber from</w:t>
      </w:r>
      <w:r w:rsidR="00792359" w:rsidRPr="00F96343">
        <w:rPr>
          <w:sz w:val="16"/>
          <w:szCs w:val="16"/>
        </w:rPr>
        <w:t xml:space="preserve"> NYS Archives, Researcher Services Unit, August 31, 2022</w:t>
      </w:r>
      <w:r w:rsidR="00F96343">
        <w:rPr>
          <w:sz w:val="16"/>
          <w:szCs w:val="16"/>
        </w:rPr>
        <w:t>}</w:t>
      </w:r>
      <w:r w:rsidR="00792359" w:rsidRPr="00F96343">
        <w:rPr>
          <w:sz w:val="16"/>
          <w:szCs w:val="16"/>
        </w:rPr>
        <w:t>.</w:t>
      </w:r>
    </w:p>
  </w:footnote>
  <w:footnote w:id="67">
    <w:p w14:paraId="7DAFF947"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While the population of the </w:t>
      </w:r>
      <w:proofErr w:type="gramStart"/>
      <w:r w:rsidRPr="00992715">
        <w:rPr>
          <w:sz w:val="16"/>
          <w:szCs w:val="16"/>
        </w:rPr>
        <w:t>Out Ward</w:t>
      </w:r>
      <w:proofErr w:type="gramEnd"/>
      <w:r w:rsidRPr="00992715">
        <w:rPr>
          <w:sz w:val="16"/>
          <w:szCs w:val="16"/>
        </w:rPr>
        <w:t xml:space="preserve"> at that time was still predominantly Dutch-speaking, the provincial officers conducting the census were probably English speakers who were not fully familiar with Dutch names and who wrote down what they thought they had heard.  This would account for such odd spellings as </w:t>
      </w:r>
      <w:proofErr w:type="spellStart"/>
      <w:r w:rsidRPr="00992715">
        <w:rPr>
          <w:sz w:val="16"/>
          <w:szCs w:val="16"/>
        </w:rPr>
        <w:t>Oronaut</w:t>
      </w:r>
      <w:proofErr w:type="spellEnd"/>
      <w:r w:rsidRPr="00992715">
        <w:rPr>
          <w:sz w:val="16"/>
          <w:szCs w:val="16"/>
        </w:rPr>
        <w:t xml:space="preserve"> for Arnaut, Agar for Edgar, and Van </w:t>
      </w:r>
      <w:proofErr w:type="spellStart"/>
      <w:r w:rsidRPr="00992715">
        <w:rPr>
          <w:sz w:val="16"/>
          <w:szCs w:val="16"/>
        </w:rPr>
        <w:t>Scyock</w:t>
      </w:r>
      <w:proofErr w:type="spellEnd"/>
      <w:r w:rsidRPr="00992715">
        <w:rPr>
          <w:sz w:val="16"/>
          <w:szCs w:val="16"/>
        </w:rPr>
        <w:t xml:space="preserve"> for Van </w:t>
      </w:r>
      <w:proofErr w:type="spellStart"/>
      <w:r w:rsidRPr="00992715">
        <w:rPr>
          <w:sz w:val="16"/>
          <w:szCs w:val="16"/>
        </w:rPr>
        <w:t>Schaick</w:t>
      </w:r>
      <w:proofErr w:type="spellEnd"/>
      <w:r w:rsidRPr="00992715">
        <w:rPr>
          <w:sz w:val="16"/>
          <w:szCs w:val="16"/>
        </w:rPr>
        <w:t>.</w:t>
      </w:r>
    </w:p>
  </w:footnote>
  <w:footnote w:id="68">
    <w:p w14:paraId="62FB256E"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Even allowing for spelling variations, 22 of the surnames or patronymics did not correspond to any names listed in either Stokes or Riker.</w:t>
      </w:r>
    </w:p>
  </w:footnote>
  <w:footnote w:id="69">
    <w:p w14:paraId="55344D75" w14:textId="48627E75" w:rsidR="00992715" w:rsidRPr="00992715" w:rsidRDefault="00992715">
      <w:pPr>
        <w:pStyle w:val="FootnoteText"/>
        <w:rPr>
          <w:sz w:val="16"/>
          <w:szCs w:val="16"/>
        </w:rPr>
      </w:pPr>
      <w:r w:rsidRPr="00992715">
        <w:rPr>
          <w:rStyle w:val="FootnoteReference"/>
          <w:sz w:val="16"/>
          <w:szCs w:val="16"/>
        </w:rPr>
        <w:footnoteRef/>
      </w:r>
      <w:r w:rsidRPr="00992715">
        <w:rPr>
          <w:sz w:val="16"/>
          <w:szCs w:val="16"/>
        </w:rPr>
        <w:t xml:space="preserve"> Riker, </w:t>
      </w:r>
      <w:r w:rsidRPr="00992715">
        <w:rPr>
          <w:i/>
          <w:iCs/>
          <w:sz w:val="16"/>
          <w:szCs w:val="16"/>
        </w:rPr>
        <w:t>op. cit</w:t>
      </w:r>
      <w:r w:rsidRPr="00992715">
        <w:rPr>
          <w:sz w:val="16"/>
          <w:szCs w:val="16"/>
        </w:rPr>
        <w:t>., p. 545n.</w:t>
      </w:r>
    </w:p>
  </w:footnote>
  <w:footnote w:id="70">
    <w:p w14:paraId="57D7EAEA"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Stokes Chronology, September 27, 1702</w:t>
      </w:r>
    </w:p>
  </w:footnote>
  <w:footnote w:id="71">
    <w:p w14:paraId="115BF9D0"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By comparison, excess deaths in the 1918 influenza pandemic numbered approximately 30,000 in a population of 5,600,000, or slightly more than half of one percent. (</w:t>
      </w:r>
      <w:hyperlink r:id="rId2" w:history="1">
        <w:r w:rsidRPr="00992715">
          <w:rPr>
            <w:rStyle w:val="Hyperlink"/>
            <w:sz w:val="16"/>
            <w:szCs w:val="16"/>
          </w:rPr>
          <w:t>https://www.ncbi.nlm.nih.gov/pmc/articles/PMC2862336/</w:t>
        </w:r>
      </w:hyperlink>
      <w:r w:rsidRPr="00992715">
        <w:rPr>
          <w:sz w:val="16"/>
          <w:szCs w:val="16"/>
        </w:rPr>
        <w:t xml:space="preserve">), The city’s population in the 1698 Census had been 4,937.  </w:t>
      </w:r>
    </w:p>
  </w:footnote>
  <w:footnote w:id="72">
    <w:p w14:paraId="66CCECE5" w14:textId="48972597" w:rsidR="00B53987" w:rsidRPr="00992715" w:rsidRDefault="00B53987">
      <w:pPr>
        <w:pStyle w:val="FootnoteText"/>
        <w:rPr>
          <w:sz w:val="16"/>
          <w:szCs w:val="16"/>
        </w:rPr>
      </w:pPr>
      <w:r w:rsidRPr="00992715">
        <w:rPr>
          <w:rStyle w:val="FootnoteReference"/>
          <w:sz w:val="16"/>
          <w:szCs w:val="16"/>
        </w:rPr>
        <w:footnoteRef/>
      </w:r>
      <w:r w:rsidRPr="00992715">
        <w:rPr>
          <w:sz w:val="16"/>
          <w:szCs w:val="16"/>
        </w:rPr>
        <w:t xml:space="preserve">  Among those who died during the 1702 epidemic, though probably of smallpox rather than yellow fever, was Brandt Schuyler, who may have been the owner of the Syndicate’s Lot 8 at the time of his death.  See </w:t>
      </w:r>
      <w:proofErr w:type="spellStart"/>
      <w:r w:rsidRPr="00992715">
        <w:rPr>
          <w:sz w:val="16"/>
          <w:szCs w:val="16"/>
        </w:rPr>
        <w:t>Bielinski</w:t>
      </w:r>
      <w:proofErr w:type="spellEnd"/>
      <w:r w:rsidRPr="00992715">
        <w:rPr>
          <w:sz w:val="16"/>
          <w:szCs w:val="16"/>
        </w:rPr>
        <w:t xml:space="preserve">, </w:t>
      </w:r>
      <w:r w:rsidRPr="00992715">
        <w:rPr>
          <w:i/>
          <w:iCs/>
          <w:sz w:val="16"/>
          <w:szCs w:val="16"/>
        </w:rPr>
        <w:t>op. cit.</w:t>
      </w:r>
    </w:p>
  </w:footnote>
  <w:footnote w:id="73">
    <w:p w14:paraId="108B5C22"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Queen Anne’s War, as it was known in America, lasted from 1702 to 1713.  It was the American theatre of the broader European War known as the War of the Spanish Succession (1701-1714). </w:t>
      </w:r>
    </w:p>
  </w:footnote>
  <w:footnote w:id="74">
    <w:p w14:paraId="4D5A4756" w14:textId="11E1FB2F"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Stokes 4: 437, 441</w:t>
      </w:r>
    </w:p>
  </w:footnote>
  <w:footnote w:id="75">
    <w:p w14:paraId="1B6F96EB"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Stokes 4:444.  The “late war” referred to was King William’s War (1688-1697), the first of the four French and Indian Wars. </w:t>
      </w:r>
    </w:p>
  </w:footnote>
  <w:footnote w:id="76">
    <w:p w14:paraId="22FD85B2" w14:textId="77777777" w:rsidR="00586330" w:rsidRPr="00992715" w:rsidRDefault="00586330" w:rsidP="00586330">
      <w:pPr>
        <w:pStyle w:val="FootnoteText"/>
        <w:rPr>
          <w:sz w:val="16"/>
          <w:szCs w:val="16"/>
        </w:rPr>
      </w:pPr>
      <w:r w:rsidRPr="00992715">
        <w:rPr>
          <w:rStyle w:val="FootnoteReference"/>
          <w:sz w:val="16"/>
          <w:szCs w:val="16"/>
        </w:rPr>
        <w:footnoteRef/>
      </w:r>
      <w:r w:rsidRPr="00992715">
        <w:rPr>
          <w:sz w:val="16"/>
          <w:szCs w:val="16"/>
        </w:rPr>
        <w:t xml:space="preserve"> Each ward other than the </w:t>
      </w:r>
      <w:proofErr w:type="gramStart"/>
      <w:r w:rsidRPr="00992715">
        <w:rPr>
          <w:sz w:val="16"/>
          <w:szCs w:val="16"/>
        </w:rPr>
        <w:t>Out Ward</w:t>
      </w:r>
      <w:proofErr w:type="gramEnd"/>
      <w:r w:rsidRPr="00992715">
        <w:rPr>
          <w:sz w:val="16"/>
          <w:szCs w:val="16"/>
        </w:rPr>
        <w:t xml:space="preserve"> was entitled to elect an Alderman, an Assistant Alderman, a Constable, a Collector, an Assessor and two officials known as Overseers or Surveyors of Highways.  The </w:t>
      </w:r>
      <w:proofErr w:type="gramStart"/>
      <w:r w:rsidRPr="00992715">
        <w:rPr>
          <w:sz w:val="16"/>
          <w:szCs w:val="16"/>
        </w:rPr>
        <w:t>Out Ward</w:t>
      </w:r>
      <w:proofErr w:type="gramEnd"/>
      <w:r w:rsidRPr="00992715">
        <w:rPr>
          <w:sz w:val="16"/>
          <w:szCs w:val="16"/>
        </w:rPr>
        <w:t xml:space="preserve">, had its single Alderman and Assistant Alderman, but because of its large area and the special status of Harlem, had separate Constables, Assessors, Collectors and Highway Overseers for its Harlem and Bowery Divisions.  As provided in the </w:t>
      </w:r>
      <w:proofErr w:type="spellStart"/>
      <w:r w:rsidRPr="00992715">
        <w:rPr>
          <w:sz w:val="16"/>
          <w:szCs w:val="16"/>
        </w:rPr>
        <w:t>Dongan</w:t>
      </w:r>
      <w:proofErr w:type="spellEnd"/>
      <w:r w:rsidRPr="00992715">
        <w:rPr>
          <w:sz w:val="16"/>
          <w:szCs w:val="16"/>
        </w:rPr>
        <w:t xml:space="preserve"> Charter, </w:t>
      </w:r>
      <w:proofErr w:type="gramStart"/>
      <w:r w:rsidRPr="00992715">
        <w:rPr>
          <w:sz w:val="16"/>
          <w:szCs w:val="16"/>
        </w:rPr>
        <w:t>all of</w:t>
      </w:r>
      <w:proofErr w:type="gramEnd"/>
      <w:r w:rsidRPr="00992715">
        <w:rPr>
          <w:sz w:val="16"/>
          <w:szCs w:val="16"/>
        </w:rPr>
        <w:t xml:space="preserve"> these local officials were elected annually on “The Feast of St. Michael the Archangel” [September 29] and took office on October 14. </w:t>
      </w:r>
    </w:p>
  </w:footnote>
  <w:footnote w:id="77">
    <w:p w14:paraId="540C5310" w14:textId="665E7BEC" w:rsidR="00AF4973" w:rsidRDefault="00AF4973">
      <w:pPr>
        <w:pStyle w:val="FootnoteText"/>
      </w:pPr>
      <w:r>
        <w:rPr>
          <w:rStyle w:val="FootnoteReference"/>
        </w:rPr>
        <w:footnoteRef/>
      </w:r>
      <w:r>
        <w:t xml:space="preserve"> </w:t>
      </w:r>
      <w:r w:rsidRPr="00D968E6">
        <w:rPr>
          <w:sz w:val="16"/>
          <w:szCs w:val="16"/>
        </w:rPr>
        <w:t xml:space="preserve">The commissioners were Will Anderson, </w:t>
      </w:r>
      <w:proofErr w:type="spellStart"/>
      <w:r w:rsidRPr="00D968E6">
        <w:rPr>
          <w:sz w:val="16"/>
          <w:szCs w:val="16"/>
        </w:rPr>
        <w:t>Klement</w:t>
      </w:r>
      <w:proofErr w:type="spellEnd"/>
      <w:r w:rsidRPr="00D968E6">
        <w:rPr>
          <w:sz w:val="16"/>
          <w:szCs w:val="16"/>
        </w:rPr>
        <w:t xml:space="preserve"> </w:t>
      </w:r>
      <w:proofErr w:type="spellStart"/>
      <w:r w:rsidRPr="00D968E6">
        <w:rPr>
          <w:sz w:val="16"/>
          <w:szCs w:val="16"/>
        </w:rPr>
        <w:t>Elswerth</w:t>
      </w:r>
      <w:proofErr w:type="spellEnd"/>
      <w:r w:rsidRPr="00D968E6">
        <w:rPr>
          <w:sz w:val="16"/>
          <w:szCs w:val="16"/>
        </w:rPr>
        <w:t xml:space="preserve">, and Pieter V. </w:t>
      </w:r>
      <w:proofErr w:type="spellStart"/>
      <w:r w:rsidRPr="00D968E6">
        <w:rPr>
          <w:sz w:val="16"/>
          <w:szCs w:val="16"/>
        </w:rPr>
        <w:t>Oblienis</w:t>
      </w:r>
      <w:proofErr w:type="spellEnd"/>
      <w:r w:rsidRPr="00D968E6">
        <w:rPr>
          <w:sz w:val="16"/>
          <w:szCs w:val="16"/>
        </w:rPr>
        <w:t xml:space="preserve">.  Their report was delivered in June 1707.  Years later it found that, in recording it, a paragraph was dropped.  It was therefore re-recorded in its entirety in 1726 and sworn to by Will </w:t>
      </w:r>
      <w:proofErr w:type="gramStart"/>
      <w:r w:rsidRPr="00D968E6">
        <w:rPr>
          <w:sz w:val="16"/>
          <w:szCs w:val="16"/>
        </w:rPr>
        <w:t>Anderson</w:t>
      </w:r>
      <w:r>
        <w:rPr>
          <w:sz w:val="16"/>
          <w:szCs w:val="16"/>
        </w:rPr>
        <w:t>.</w:t>
      </w:r>
      <w:r w:rsidRPr="00D968E6">
        <w:rPr>
          <w:sz w:val="16"/>
          <w:szCs w:val="16"/>
        </w:rPr>
        <w:t>.</w:t>
      </w:r>
      <w:proofErr w:type="gramEnd"/>
      <w:r w:rsidRPr="00D968E6">
        <w:rPr>
          <w:sz w:val="16"/>
          <w:szCs w:val="16"/>
        </w:rPr>
        <w:t xml:space="preserve"> (Stokes Chron. June 16, 1707</w:t>
      </w:r>
      <w:r>
        <w:rPr>
          <w:sz w:val="16"/>
          <w:szCs w:val="16"/>
        </w:rPr>
        <w:t>).   In 1726 Anderson may have been the only surviving commissioner</w:t>
      </w:r>
      <w:r w:rsidR="0009557F">
        <w:rPr>
          <w:sz w:val="16"/>
          <w:szCs w:val="16"/>
        </w:rPr>
        <w:t>.</w:t>
      </w:r>
    </w:p>
  </w:footnote>
  <w:footnote w:id="78">
    <w:p w14:paraId="376F59CF" w14:textId="02275AB2" w:rsidR="00AF4973" w:rsidRPr="00CF68C9" w:rsidRDefault="00AF4973">
      <w:pPr>
        <w:pStyle w:val="FootnoteText"/>
        <w:rPr>
          <w:sz w:val="16"/>
          <w:szCs w:val="16"/>
        </w:rPr>
      </w:pPr>
      <w:r>
        <w:rPr>
          <w:rStyle w:val="FootnoteReference"/>
        </w:rPr>
        <w:footnoteRef/>
      </w:r>
      <w:r>
        <w:t xml:space="preserve"> </w:t>
      </w:r>
      <w:r w:rsidR="00242DE3" w:rsidRPr="00242DE3">
        <w:rPr>
          <w:sz w:val="16"/>
          <w:szCs w:val="16"/>
        </w:rPr>
        <w:t>Quoted in t</w:t>
      </w:r>
      <w:r w:rsidRPr="00242DE3">
        <w:rPr>
          <w:sz w:val="16"/>
          <w:szCs w:val="16"/>
        </w:rPr>
        <w:t>ypescript</w:t>
      </w:r>
      <w:r w:rsidRPr="00CF68C9">
        <w:rPr>
          <w:sz w:val="16"/>
          <w:szCs w:val="16"/>
        </w:rPr>
        <w:t xml:space="preserve"> report for Broadway in Street Title file of Topographical Bureau, Office of the Manhattan </w:t>
      </w:r>
      <w:r w:rsidR="006D6E5A">
        <w:rPr>
          <w:sz w:val="16"/>
          <w:szCs w:val="16"/>
        </w:rPr>
        <w:t xml:space="preserve">Borough </w:t>
      </w:r>
      <w:r w:rsidRPr="00CF68C9">
        <w:rPr>
          <w:sz w:val="16"/>
          <w:szCs w:val="16"/>
        </w:rPr>
        <w:t>President.</w:t>
      </w:r>
      <w:r>
        <w:rPr>
          <w:sz w:val="16"/>
          <w:szCs w:val="16"/>
        </w:rPr>
        <w:t xml:space="preserve"> </w:t>
      </w:r>
      <w:r w:rsidRPr="00CF68C9">
        <w:rPr>
          <w:sz w:val="16"/>
          <w:szCs w:val="16"/>
        </w:rPr>
        <w:t>(n.d., prob, ca. 1940)</w:t>
      </w:r>
    </w:p>
  </w:footnote>
  <w:footnote w:id="79">
    <w:p w14:paraId="0AAE670D" w14:textId="32EC9855" w:rsidR="00AF4973" w:rsidRPr="007442AB" w:rsidRDefault="00AF4973" w:rsidP="00BA6634">
      <w:pPr>
        <w:spacing w:after="0"/>
        <w:rPr>
          <w:sz w:val="16"/>
          <w:szCs w:val="16"/>
        </w:rPr>
      </w:pPr>
      <w:r>
        <w:rPr>
          <w:rStyle w:val="FootnoteReference"/>
        </w:rPr>
        <w:footnoteRef/>
      </w:r>
      <w:r>
        <w:t xml:space="preserve"> </w:t>
      </w:r>
      <w:r w:rsidRPr="007442AB">
        <w:rPr>
          <w:sz w:val="16"/>
          <w:szCs w:val="16"/>
        </w:rPr>
        <w:t xml:space="preserve">A </w:t>
      </w:r>
      <w:r>
        <w:rPr>
          <w:sz w:val="16"/>
          <w:szCs w:val="16"/>
        </w:rPr>
        <w:t>1751</w:t>
      </w:r>
      <w:r w:rsidRPr="007442AB">
        <w:rPr>
          <w:sz w:val="16"/>
          <w:szCs w:val="16"/>
        </w:rPr>
        <w:t xml:space="preserve"> act on maintenance of the road identifies its starting point as the house of John Horn, which was at 23</w:t>
      </w:r>
      <w:r w:rsidRPr="007442AB">
        <w:rPr>
          <w:sz w:val="16"/>
          <w:szCs w:val="16"/>
          <w:vertAlign w:val="superscript"/>
        </w:rPr>
        <w:t>rd</w:t>
      </w:r>
      <w:r w:rsidRPr="007442AB">
        <w:rPr>
          <w:sz w:val="16"/>
          <w:szCs w:val="16"/>
        </w:rPr>
        <w:t xml:space="preserve"> St. and Fifth Avenue.  </w:t>
      </w:r>
    </w:p>
  </w:footnote>
  <w:footnote w:id="80">
    <w:p w14:paraId="41A1DB8E" w14:textId="36951C7C" w:rsidR="000C4976" w:rsidRPr="006D6E5A" w:rsidRDefault="000C4976">
      <w:pPr>
        <w:pStyle w:val="FootnoteText"/>
        <w:rPr>
          <w:sz w:val="16"/>
          <w:szCs w:val="16"/>
        </w:rPr>
      </w:pPr>
      <w:r>
        <w:rPr>
          <w:rStyle w:val="FootnoteReference"/>
        </w:rPr>
        <w:footnoteRef/>
      </w:r>
      <w:r>
        <w:t xml:space="preserve"> </w:t>
      </w:r>
      <w:r w:rsidR="00291831">
        <w:rPr>
          <w:sz w:val="16"/>
          <w:szCs w:val="16"/>
        </w:rPr>
        <w:t>Life in a farming community</w:t>
      </w:r>
      <w:r w:rsidR="00846F1C" w:rsidRPr="006D6E5A">
        <w:rPr>
          <w:sz w:val="16"/>
          <w:szCs w:val="16"/>
        </w:rPr>
        <w:t xml:space="preserve"> is dictated by the seasonal needs of </w:t>
      </w:r>
      <w:proofErr w:type="gramStart"/>
      <w:r w:rsidR="00846F1C" w:rsidRPr="006D6E5A">
        <w:rPr>
          <w:sz w:val="16"/>
          <w:szCs w:val="16"/>
        </w:rPr>
        <w:t>particular crops</w:t>
      </w:r>
      <w:proofErr w:type="gramEnd"/>
      <w:r w:rsidR="00846F1C" w:rsidRPr="006D6E5A">
        <w:rPr>
          <w:sz w:val="16"/>
          <w:szCs w:val="16"/>
        </w:rPr>
        <w:t xml:space="preserve"> and livestock</w:t>
      </w:r>
      <w:r w:rsidR="006D6E5A">
        <w:rPr>
          <w:sz w:val="16"/>
          <w:szCs w:val="16"/>
        </w:rPr>
        <w:t xml:space="preserve">. </w:t>
      </w:r>
      <w:r w:rsidR="00291831">
        <w:rPr>
          <w:sz w:val="16"/>
          <w:szCs w:val="16"/>
        </w:rPr>
        <w:t xml:space="preserve"> Many tasks</w:t>
      </w:r>
      <w:r w:rsidR="00F13F1D">
        <w:rPr>
          <w:sz w:val="16"/>
          <w:szCs w:val="16"/>
        </w:rPr>
        <w:t xml:space="preserve"> </w:t>
      </w:r>
      <w:r w:rsidR="00291831">
        <w:rPr>
          <w:sz w:val="16"/>
          <w:szCs w:val="16"/>
        </w:rPr>
        <w:t xml:space="preserve">are done jointly or </w:t>
      </w:r>
      <w:r w:rsidR="00BA5631" w:rsidRPr="006D6E5A">
        <w:rPr>
          <w:sz w:val="16"/>
          <w:szCs w:val="16"/>
        </w:rPr>
        <w:t>involve</w:t>
      </w:r>
      <w:r w:rsidR="00F13F1D">
        <w:rPr>
          <w:sz w:val="16"/>
          <w:szCs w:val="16"/>
        </w:rPr>
        <w:t xml:space="preserve"> </w:t>
      </w:r>
      <w:r w:rsidR="00BA5631" w:rsidRPr="006D6E5A">
        <w:rPr>
          <w:sz w:val="16"/>
          <w:szCs w:val="16"/>
        </w:rPr>
        <w:t>informal exchanges of labor and equipment.  Jan’s sons will help harvest Dirk’s wheat; Dirk’</w:t>
      </w:r>
      <w:r w:rsidR="00F13F1D">
        <w:rPr>
          <w:sz w:val="16"/>
          <w:szCs w:val="16"/>
        </w:rPr>
        <w:t>s</w:t>
      </w:r>
      <w:r w:rsidR="00BA5631" w:rsidRPr="006D6E5A">
        <w:rPr>
          <w:sz w:val="16"/>
          <w:szCs w:val="16"/>
        </w:rPr>
        <w:t xml:space="preserve"> daughters will </w:t>
      </w:r>
      <w:r w:rsidR="00846F1C" w:rsidRPr="006D6E5A">
        <w:rPr>
          <w:sz w:val="16"/>
          <w:szCs w:val="16"/>
        </w:rPr>
        <w:t xml:space="preserve">help </w:t>
      </w:r>
      <w:r w:rsidR="00BA5631" w:rsidRPr="006D6E5A">
        <w:rPr>
          <w:sz w:val="16"/>
          <w:szCs w:val="16"/>
        </w:rPr>
        <w:t>card Jan’s wool</w:t>
      </w:r>
      <w:r w:rsidR="006D6E5A" w:rsidRPr="006D6E5A">
        <w:rPr>
          <w:sz w:val="16"/>
          <w:szCs w:val="16"/>
        </w:rPr>
        <w:t>, etc.  There would have been constant traffic between farms.</w:t>
      </w:r>
      <w:r w:rsidR="00846F1C" w:rsidRPr="006D6E5A">
        <w:rPr>
          <w:sz w:val="16"/>
          <w:szCs w:val="16"/>
        </w:rPr>
        <w:t xml:space="preserve"> </w:t>
      </w:r>
      <w:r w:rsidR="00BA5631" w:rsidRPr="006D6E5A">
        <w:rPr>
          <w:sz w:val="16"/>
          <w:szCs w:val="16"/>
        </w:rPr>
        <w:t xml:space="preserve">  </w:t>
      </w:r>
    </w:p>
  </w:footnote>
  <w:footnote w:id="81">
    <w:p w14:paraId="12F37362" w14:textId="2AEF20F0" w:rsidR="00242DE3" w:rsidRDefault="00242DE3" w:rsidP="00BA6634">
      <w:pPr>
        <w:spacing w:after="0"/>
      </w:pPr>
      <w:r>
        <w:rPr>
          <w:rStyle w:val="FootnoteReference"/>
        </w:rPr>
        <w:footnoteRef/>
      </w:r>
      <w:r w:rsidRPr="00C875CA">
        <w:rPr>
          <w:sz w:val="16"/>
          <w:szCs w:val="16"/>
        </w:rPr>
        <w:t xml:space="preserve">The motivation for </w:t>
      </w:r>
      <w:r>
        <w:rPr>
          <w:sz w:val="16"/>
          <w:szCs w:val="16"/>
        </w:rPr>
        <w:t>the 1703</w:t>
      </w:r>
      <w:r w:rsidRPr="00C875CA">
        <w:rPr>
          <w:sz w:val="16"/>
          <w:szCs w:val="16"/>
        </w:rPr>
        <w:t xml:space="preserve"> Act </w:t>
      </w:r>
      <w:r>
        <w:rPr>
          <w:sz w:val="16"/>
          <w:szCs w:val="16"/>
        </w:rPr>
        <w:t xml:space="preserve">may have been largely </w:t>
      </w:r>
      <w:r w:rsidRPr="00C875CA">
        <w:rPr>
          <w:sz w:val="16"/>
          <w:szCs w:val="16"/>
        </w:rPr>
        <w:t xml:space="preserve">military.  At the time, England was in the second year of what was known in Europe as The War of the Spanish Succession and in the colonies as Queen Anne’s War.  This conflict pitted England against an alliance of France and Spain.  There was a realistic threat that the Quebec French and their Indian allies might attempt to attack New York via the Champlain-Hudson Corridor.  There were existing roads on Manhattan Island and elsewhere in the </w:t>
      </w:r>
      <w:proofErr w:type="gramStart"/>
      <w:r w:rsidRPr="00C875CA">
        <w:rPr>
          <w:sz w:val="16"/>
          <w:szCs w:val="16"/>
        </w:rPr>
        <w:t>Province</w:t>
      </w:r>
      <w:proofErr w:type="gramEnd"/>
      <w:r w:rsidRPr="00C875CA">
        <w:rPr>
          <w:sz w:val="16"/>
          <w:szCs w:val="16"/>
        </w:rPr>
        <w:t xml:space="preserve"> but they were narrow, in poor repair, and difficult of passage for troops or artillery.</w:t>
      </w:r>
    </w:p>
  </w:footnote>
  <w:footnote w:id="82">
    <w:p w14:paraId="5A0295EC" w14:textId="1A6DF3C7" w:rsidR="00AF4973" w:rsidRPr="007442AB" w:rsidRDefault="00AF4973">
      <w:pPr>
        <w:pStyle w:val="FootnoteText"/>
        <w:rPr>
          <w:sz w:val="16"/>
          <w:szCs w:val="16"/>
        </w:rPr>
      </w:pPr>
      <w:r>
        <w:rPr>
          <w:rStyle w:val="FootnoteReference"/>
        </w:rPr>
        <w:footnoteRef/>
      </w:r>
      <w:r>
        <w:rPr>
          <w:sz w:val="16"/>
          <w:szCs w:val="16"/>
        </w:rPr>
        <w:t xml:space="preserve">New </w:t>
      </w:r>
      <w:r w:rsidRPr="007442AB">
        <w:rPr>
          <w:sz w:val="16"/>
          <w:szCs w:val="16"/>
        </w:rPr>
        <w:t xml:space="preserve">Harlem had a </w:t>
      </w:r>
      <w:r>
        <w:rPr>
          <w:sz w:val="16"/>
          <w:szCs w:val="16"/>
        </w:rPr>
        <w:t xml:space="preserve">chronic </w:t>
      </w:r>
      <w:r w:rsidRPr="007442AB">
        <w:rPr>
          <w:sz w:val="16"/>
          <w:szCs w:val="16"/>
        </w:rPr>
        <w:t>problem in getting people to contribute their mandated share of money or labor to maintain the “wagon way” to New York</w:t>
      </w:r>
      <w:r w:rsidR="006D7DFC">
        <w:rPr>
          <w:sz w:val="16"/>
          <w:szCs w:val="16"/>
        </w:rPr>
        <w:t xml:space="preserve">. See </w:t>
      </w:r>
      <w:r w:rsidRPr="007442AB">
        <w:rPr>
          <w:sz w:val="16"/>
          <w:szCs w:val="16"/>
        </w:rPr>
        <w:t>Riker</w:t>
      </w:r>
      <w:r w:rsidR="006D7DFC">
        <w:rPr>
          <w:sz w:val="16"/>
          <w:szCs w:val="16"/>
        </w:rPr>
        <w:t xml:space="preserve">, </w:t>
      </w:r>
      <w:r w:rsidR="006D7DFC" w:rsidRPr="006D7DFC">
        <w:rPr>
          <w:i/>
          <w:iCs/>
          <w:sz w:val="16"/>
          <w:szCs w:val="16"/>
        </w:rPr>
        <w:t>op. cit</w:t>
      </w:r>
      <w:r w:rsidR="006D7DFC">
        <w:rPr>
          <w:sz w:val="16"/>
          <w:szCs w:val="16"/>
        </w:rPr>
        <w:t>., pp</w:t>
      </w:r>
      <w:r w:rsidRPr="007442AB">
        <w:rPr>
          <w:sz w:val="16"/>
          <w:szCs w:val="16"/>
        </w:rPr>
        <w:t xml:space="preserve"> 273, 280</w:t>
      </w:r>
      <w:r w:rsidR="00BA6634">
        <w:rPr>
          <w:sz w:val="16"/>
          <w:szCs w:val="16"/>
        </w:rPr>
        <w:t>.</w:t>
      </w:r>
    </w:p>
  </w:footnote>
  <w:footnote w:id="83">
    <w:p w14:paraId="40AB385E" w14:textId="707A9BAE" w:rsidR="007803C9" w:rsidRDefault="007803C9">
      <w:pPr>
        <w:pStyle w:val="FootnoteText"/>
      </w:pPr>
      <w:r>
        <w:rPr>
          <w:rStyle w:val="FootnoteReference"/>
        </w:rPr>
        <w:footnoteRef/>
      </w:r>
      <w:r w:rsidRPr="00306C81">
        <w:rPr>
          <w:sz w:val="16"/>
          <w:szCs w:val="16"/>
        </w:rPr>
        <w:t>The comparable figure for a New York City crosstown street is 60 feet.</w:t>
      </w:r>
      <w:r>
        <w:t xml:space="preserve">  </w:t>
      </w:r>
    </w:p>
  </w:footnote>
  <w:footnote w:id="84">
    <w:p w14:paraId="032862D6" w14:textId="4B2D99F3" w:rsidR="00E732A3" w:rsidRDefault="00E732A3">
      <w:pPr>
        <w:pStyle w:val="FootnoteText"/>
      </w:pPr>
      <w:r>
        <w:rPr>
          <w:rStyle w:val="FootnoteReference"/>
        </w:rPr>
        <w:footnoteRef/>
      </w:r>
      <w:r>
        <w:t xml:space="preserve">  </w:t>
      </w:r>
      <w:r w:rsidRPr="00E732A3">
        <w:rPr>
          <w:sz w:val="16"/>
          <w:szCs w:val="16"/>
        </w:rPr>
        <w:t>Riker</w:t>
      </w:r>
      <w:r w:rsidRPr="00E732A3">
        <w:rPr>
          <w:i/>
          <w:iCs/>
          <w:sz w:val="16"/>
          <w:szCs w:val="16"/>
        </w:rPr>
        <w:t xml:space="preserve">, op. </w:t>
      </w:r>
      <w:proofErr w:type="spellStart"/>
      <w:r w:rsidRPr="00E732A3">
        <w:rPr>
          <w:i/>
          <w:iCs/>
          <w:sz w:val="16"/>
          <w:szCs w:val="16"/>
        </w:rPr>
        <w:t>cit</w:t>
      </w:r>
      <w:proofErr w:type="spellEnd"/>
      <w:r w:rsidRPr="00E732A3">
        <w:rPr>
          <w:sz w:val="16"/>
          <w:szCs w:val="16"/>
        </w:rPr>
        <w:t>, p. 369</w:t>
      </w:r>
      <w:r>
        <w:t>.</w:t>
      </w:r>
    </w:p>
  </w:footnote>
  <w:footnote w:id="85">
    <w:p w14:paraId="2FDB512A" w14:textId="1540BF54" w:rsidR="006D7DFC" w:rsidRPr="006D7DFC" w:rsidRDefault="006D7DFC">
      <w:pPr>
        <w:pStyle w:val="FootnoteText"/>
        <w:rPr>
          <w:sz w:val="16"/>
          <w:szCs w:val="16"/>
        </w:rPr>
      </w:pPr>
      <w:r w:rsidRPr="006D7DFC">
        <w:rPr>
          <w:rStyle w:val="FootnoteReference"/>
          <w:sz w:val="16"/>
          <w:szCs w:val="16"/>
        </w:rPr>
        <w:footnoteRef/>
      </w:r>
      <w:r w:rsidRPr="006D7DFC">
        <w:rPr>
          <w:sz w:val="16"/>
          <w:szCs w:val="16"/>
        </w:rPr>
        <w:t xml:space="preserve">  Stokes, </w:t>
      </w:r>
      <w:r w:rsidRPr="006D7DFC">
        <w:rPr>
          <w:i/>
          <w:iCs/>
          <w:sz w:val="16"/>
          <w:szCs w:val="16"/>
        </w:rPr>
        <w:t>op. cit</w:t>
      </w:r>
      <w:r w:rsidRPr="006D7DFC">
        <w:rPr>
          <w:sz w:val="16"/>
          <w:szCs w:val="16"/>
        </w:rPr>
        <w:t>., Vol IV, Chronology, Nov. 25, 1751.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44612"/>
      <w:docPartObj>
        <w:docPartGallery w:val="Page Numbers (Top of Page)"/>
        <w:docPartUnique/>
      </w:docPartObj>
    </w:sdtPr>
    <w:sdtEndPr>
      <w:rPr>
        <w:noProof/>
      </w:rPr>
    </w:sdtEndPr>
    <w:sdtContent>
      <w:p w14:paraId="2D3B96DB" w14:textId="2940B1E8" w:rsidR="00CC09DB" w:rsidRDefault="00CC09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46DAD1" w14:textId="77777777" w:rsidR="00CC09DB" w:rsidRDefault="00CC09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3E2F"/>
    <w:rsid w:val="0000298A"/>
    <w:rsid w:val="00002B58"/>
    <w:rsid w:val="00004B68"/>
    <w:rsid w:val="00006833"/>
    <w:rsid w:val="00011043"/>
    <w:rsid w:val="00012C0D"/>
    <w:rsid w:val="00025DE6"/>
    <w:rsid w:val="00025FC5"/>
    <w:rsid w:val="000262B5"/>
    <w:rsid w:val="00027010"/>
    <w:rsid w:val="00036FEB"/>
    <w:rsid w:val="00040A15"/>
    <w:rsid w:val="00040A6F"/>
    <w:rsid w:val="0004558B"/>
    <w:rsid w:val="00046556"/>
    <w:rsid w:val="0005188A"/>
    <w:rsid w:val="000550BF"/>
    <w:rsid w:val="000561AE"/>
    <w:rsid w:val="0006642F"/>
    <w:rsid w:val="000675DB"/>
    <w:rsid w:val="0007000D"/>
    <w:rsid w:val="000756F9"/>
    <w:rsid w:val="00082E4D"/>
    <w:rsid w:val="0009557F"/>
    <w:rsid w:val="000A7AE8"/>
    <w:rsid w:val="000C4976"/>
    <w:rsid w:val="000C4E46"/>
    <w:rsid w:val="000C612E"/>
    <w:rsid w:val="000C7C40"/>
    <w:rsid w:val="000D06DB"/>
    <w:rsid w:val="000E13FA"/>
    <w:rsid w:val="000F2E58"/>
    <w:rsid w:val="000F371A"/>
    <w:rsid w:val="000F4E59"/>
    <w:rsid w:val="000F5802"/>
    <w:rsid w:val="00114CA4"/>
    <w:rsid w:val="00116BBC"/>
    <w:rsid w:val="0012043A"/>
    <w:rsid w:val="001247BB"/>
    <w:rsid w:val="00131456"/>
    <w:rsid w:val="001330C4"/>
    <w:rsid w:val="00140FEC"/>
    <w:rsid w:val="00153D86"/>
    <w:rsid w:val="00154DDD"/>
    <w:rsid w:val="001602D6"/>
    <w:rsid w:val="00161FF1"/>
    <w:rsid w:val="00171696"/>
    <w:rsid w:val="00173A7F"/>
    <w:rsid w:val="00177EB9"/>
    <w:rsid w:val="00187DFE"/>
    <w:rsid w:val="001903C2"/>
    <w:rsid w:val="001B0C45"/>
    <w:rsid w:val="001B1C12"/>
    <w:rsid w:val="001B2D01"/>
    <w:rsid w:val="001B6EDC"/>
    <w:rsid w:val="001D568D"/>
    <w:rsid w:val="001E2860"/>
    <w:rsid w:val="001F182B"/>
    <w:rsid w:val="001F3AE5"/>
    <w:rsid w:val="001F771F"/>
    <w:rsid w:val="00201F52"/>
    <w:rsid w:val="0020412C"/>
    <w:rsid w:val="00215AAD"/>
    <w:rsid w:val="00215CC9"/>
    <w:rsid w:val="0021637B"/>
    <w:rsid w:val="00221733"/>
    <w:rsid w:val="00224979"/>
    <w:rsid w:val="00235214"/>
    <w:rsid w:val="00242DE3"/>
    <w:rsid w:val="002527AF"/>
    <w:rsid w:val="002531D0"/>
    <w:rsid w:val="002559B9"/>
    <w:rsid w:val="0026135E"/>
    <w:rsid w:val="002667C2"/>
    <w:rsid w:val="002709E4"/>
    <w:rsid w:val="0027294F"/>
    <w:rsid w:val="00273E2F"/>
    <w:rsid w:val="0028370B"/>
    <w:rsid w:val="002839DD"/>
    <w:rsid w:val="002863B6"/>
    <w:rsid w:val="00286E24"/>
    <w:rsid w:val="00291831"/>
    <w:rsid w:val="00293E58"/>
    <w:rsid w:val="002977BA"/>
    <w:rsid w:val="002A239B"/>
    <w:rsid w:val="002C0414"/>
    <w:rsid w:val="002C41DF"/>
    <w:rsid w:val="002D1BFC"/>
    <w:rsid w:val="002D6C99"/>
    <w:rsid w:val="002E05B5"/>
    <w:rsid w:val="002E43D3"/>
    <w:rsid w:val="002E5300"/>
    <w:rsid w:val="002F0110"/>
    <w:rsid w:val="002F66C3"/>
    <w:rsid w:val="003003F2"/>
    <w:rsid w:val="00300CDC"/>
    <w:rsid w:val="003039EE"/>
    <w:rsid w:val="00306C81"/>
    <w:rsid w:val="00315EAE"/>
    <w:rsid w:val="003321E9"/>
    <w:rsid w:val="003327A9"/>
    <w:rsid w:val="0034359C"/>
    <w:rsid w:val="00344A77"/>
    <w:rsid w:val="00355983"/>
    <w:rsid w:val="00366652"/>
    <w:rsid w:val="0036702E"/>
    <w:rsid w:val="00383EE5"/>
    <w:rsid w:val="00384DD9"/>
    <w:rsid w:val="00387346"/>
    <w:rsid w:val="00390976"/>
    <w:rsid w:val="00391F1D"/>
    <w:rsid w:val="003A1F6F"/>
    <w:rsid w:val="003A4063"/>
    <w:rsid w:val="003A44B4"/>
    <w:rsid w:val="003A4E4B"/>
    <w:rsid w:val="003B0EA0"/>
    <w:rsid w:val="003B1772"/>
    <w:rsid w:val="003B1D87"/>
    <w:rsid w:val="003C5560"/>
    <w:rsid w:val="003D3F59"/>
    <w:rsid w:val="003D7FBE"/>
    <w:rsid w:val="003E6758"/>
    <w:rsid w:val="003F127B"/>
    <w:rsid w:val="004128F3"/>
    <w:rsid w:val="0041385F"/>
    <w:rsid w:val="0041391C"/>
    <w:rsid w:val="004214C4"/>
    <w:rsid w:val="00431BF4"/>
    <w:rsid w:val="00432CB6"/>
    <w:rsid w:val="004332E3"/>
    <w:rsid w:val="0043342F"/>
    <w:rsid w:val="0043362B"/>
    <w:rsid w:val="00436F47"/>
    <w:rsid w:val="004400FF"/>
    <w:rsid w:val="004432A9"/>
    <w:rsid w:val="00444E10"/>
    <w:rsid w:val="00445E71"/>
    <w:rsid w:val="00447EDB"/>
    <w:rsid w:val="00453DD4"/>
    <w:rsid w:val="00454353"/>
    <w:rsid w:val="00455425"/>
    <w:rsid w:val="0045651E"/>
    <w:rsid w:val="00460673"/>
    <w:rsid w:val="0046523C"/>
    <w:rsid w:val="00466528"/>
    <w:rsid w:val="004709AE"/>
    <w:rsid w:val="004802F6"/>
    <w:rsid w:val="004914C2"/>
    <w:rsid w:val="0049262F"/>
    <w:rsid w:val="00492A30"/>
    <w:rsid w:val="00495A92"/>
    <w:rsid w:val="004A2CEB"/>
    <w:rsid w:val="004A4219"/>
    <w:rsid w:val="004A4D22"/>
    <w:rsid w:val="004A5EFE"/>
    <w:rsid w:val="004A611C"/>
    <w:rsid w:val="004A706B"/>
    <w:rsid w:val="004B6A78"/>
    <w:rsid w:val="004C20CF"/>
    <w:rsid w:val="004C4253"/>
    <w:rsid w:val="004D09CD"/>
    <w:rsid w:val="004D4FAD"/>
    <w:rsid w:val="004D644F"/>
    <w:rsid w:val="004E12C0"/>
    <w:rsid w:val="004E70AD"/>
    <w:rsid w:val="00503977"/>
    <w:rsid w:val="00511921"/>
    <w:rsid w:val="00512BEA"/>
    <w:rsid w:val="005170E4"/>
    <w:rsid w:val="00522C16"/>
    <w:rsid w:val="005235DA"/>
    <w:rsid w:val="00524459"/>
    <w:rsid w:val="0052455B"/>
    <w:rsid w:val="00526DDF"/>
    <w:rsid w:val="00530B87"/>
    <w:rsid w:val="00535802"/>
    <w:rsid w:val="00555510"/>
    <w:rsid w:val="00560389"/>
    <w:rsid w:val="00565C78"/>
    <w:rsid w:val="005833BE"/>
    <w:rsid w:val="00584932"/>
    <w:rsid w:val="0058571B"/>
    <w:rsid w:val="00586330"/>
    <w:rsid w:val="00591850"/>
    <w:rsid w:val="00592292"/>
    <w:rsid w:val="005A5387"/>
    <w:rsid w:val="005A58F2"/>
    <w:rsid w:val="005A76EF"/>
    <w:rsid w:val="005B2C7F"/>
    <w:rsid w:val="005B70EE"/>
    <w:rsid w:val="005C5BB6"/>
    <w:rsid w:val="005D0028"/>
    <w:rsid w:val="005E0D1A"/>
    <w:rsid w:val="005E67AD"/>
    <w:rsid w:val="005F18B2"/>
    <w:rsid w:val="005F1E42"/>
    <w:rsid w:val="005F4304"/>
    <w:rsid w:val="00606A93"/>
    <w:rsid w:val="00612669"/>
    <w:rsid w:val="00614259"/>
    <w:rsid w:val="00614CFE"/>
    <w:rsid w:val="006330A8"/>
    <w:rsid w:val="006341C7"/>
    <w:rsid w:val="0063437D"/>
    <w:rsid w:val="006354F0"/>
    <w:rsid w:val="00636EA5"/>
    <w:rsid w:val="006411DC"/>
    <w:rsid w:val="00643A78"/>
    <w:rsid w:val="00647A8B"/>
    <w:rsid w:val="00655974"/>
    <w:rsid w:val="00655FA4"/>
    <w:rsid w:val="00657169"/>
    <w:rsid w:val="00660619"/>
    <w:rsid w:val="00664751"/>
    <w:rsid w:val="00665ABB"/>
    <w:rsid w:val="00667564"/>
    <w:rsid w:val="00673683"/>
    <w:rsid w:val="00674606"/>
    <w:rsid w:val="00676A2F"/>
    <w:rsid w:val="00686A12"/>
    <w:rsid w:val="00694406"/>
    <w:rsid w:val="00697082"/>
    <w:rsid w:val="006973A7"/>
    <w:rsid w:val="006A0F13"/>
    <w:rsid w:val="006B20AE"/>
    <w:rsid w:val="006B27DF"/>
    <w:rsid w:val="006B313D"/>
    <w:rsid w:val="006B3217"/>
    <w:rsid w:val="006B6263"/>
    <w:rsid w:val="006B69EA"/>
    <w:rsid w:val="006C4546"/>
    <w:rsid w:val="006C5F0A"/>
    <w:rsid w:val="006D0636"/>
    <w:rsid w:val="006D2DD6"/>
    <w:rsid w:val="006D5E51"/>
    <w:rsid w:val="006D694C"/>
    <w:rsid w:val="006D6E5A"/>
    <w:rsid w:val="006D7DFC"/>
    <w:rsid w:val="006E5B84"/>
    <w:rsid w:val="006E5C29"/>
    <w:rsid w:val="006F20C3"/>
    <w:rsid w:val="00701352"/>
    <w:rsid w:val="00703623"/>
    <w:rsid w:val="007041E4"/>
    <w:rsid w:val="00705B29"/>
    <w:rsid w:val="0071039B"/>
    <w:rsid w:val="007124FD"/>
    <w:rsid w:val="00715EFF"/>
    <w:rsid w:val="00721565"/>
    <w:rsid w:val="00722DD2"/>
    <w:rsid w:val="00725900"/>
    <w:rsid w:val="00725DB6"/>
    <w:rsid w:val="00732632"/>
    <w:rsid w:val="00733EB1"/>
    <w:rsid w:val="007363CA"/>
    <w:rsid w:val="0073663B"/>
    <w:rsid w:val="007442AB"/>
    <w:rsid w:val="00747E5F"/>
    <w:rsid w:val="007514BB"/>
    <w:rsid w:val="007529D3"/>
    <w:rsid w:val="00760B05"/>
    <w:rsid w:val="00774FEF"/>
    <w:rsid w:val="007803C9"/>
    <w:rsid w:val="00780796"/>
    <w:rsid w:val="007823A4"/>
    <w:rsid w:val="00783D01"/>
    <w:rsid w:val="00786530"/>
    <w:rsid w:val="007921E1"/>
    <w:rsid w:val="00792359"/>
    <w:rsid w:val="007A19A9"/>
    <w:rsid w:val="007A5DD0"/>
    <w:rsid w:val="007A7539"/>
    <w:rsid w:val="007B0A82"/>
    <w:rsid w:val="007B445F"/>
    <w:rsid w:val="007B7B37"/>
    <w:rsid w:val="007C1F5D"/>
    <w:rsid w:val="007C3FFB"/>
    <w:rsid w:val="007C4B71"/>
    <w:rsid w:val="007C731C"/>
    <w:rsid w:val="007D1492"/>
    <w:rsid w:val="007F1760"/>
    <w:rsid w:val="007F193C"/>
    <w:rsid w:val="007F371E"/>
    <w:rsid w:val="00801980"/>
    <w:rsid w:val="00805D8A"/>
    <w:rsid w:val="00831144"/>
    <w:rsid w:val="00833616"/>
    <w:rsid w:val="00834F1B"/>
    <w:rsid w:val="0083546E"/>
    <w:rsid w:val="00836929"/>
    <w:rsid w:val="0084041E"/>
    <w:rsid w:val="00846F1C"/>
    <w:rsid w:val="0085003B"/>
    <w:rsid w:val="00857EC9"/>
    <w:rsid w:val="0086059B"/>
    <w:rsid w:val="00860C8C"/>
    <w:rsid w:val="0086394C"/>
    <w:rsid w:val="00872E80"/>
    <w:rsid w:val="00876B9F"/>
    <w:rsid w:val="00876F0B"/>
    <w:rsid w:val="00881076"/>
    <w:rsid w:val="008821DF"/>
    <w:rsid w:val="008842B1"/>
    <w:rsid w:val="00884414"/>
    <w:rsid w:val="0088562A"/>
    <w:rsid w:val="00887DB8"/>
    <w:rsid w:val="008930F1"/>
    <w:rsid w:val="00894F57"/>
    <w:rsid w:val="008A1D87"/>
    <w:rsid w:val="008A5ABF"/>
    <w:rsid w:val="008A5B16"/>
    <w:rsid w:val="008A6A5A"/>
    <w:rsid w:val="008B5EA1"/>
    <w:rsid w:val="008B6374"/>
    <w:rsid w:val="008B74E8"/>
    <w:rsid w:val="008C039C"/>
    <w:rsid w:val="008C3CA7"/>
    <w:rsid w:val="008C404D"/>
    <w:rsid w:val="008C6A61"/>
    <w:rsid w:val="008D0817"/>
    <w:rsid w:val="008D1BDE"/>
    <w:rsid w:val="008D2A9B"/>
    <w:rsid w:val="008D467C"/>
    <w:rsid w:val="008D7052"/>
    <w:rsid w:val="008D72FD"/>
    <w:rsid w:val="008E1FCC"/>
    <w:rsid w:val="008E4A97"/>
    <w:rsid w:val="008E5208"/>
    <w:rsid w:val="008E7D5F"/>
    <w:rsid w:val="008F575E"/>
    <w:rsid w:val="008F7B27"/>
    <w:rsid w:val="00901A4C"/>
    <w:rsid w:val="00904FBC"/>
    <w:rsid w:val="009061A4"/>
    <w:rsid w:val="00914B05"/>
    <w:rsid w:val="00916104"/>
    <w:rsid w:val="0091759F"/>
    <w:rsid w:val="009226F1"/>
    <w:rsid w:val="009233C8"/>
    <w:rsid w:val="009317F4"/>
    <w:rsid w:val="00934423"/>
    <w:rsid w:val="00934FF8"/>
    <w:rsid w:val="009430FB"/>
    <w:rsid w:val="0094448D"/>
    <w:rsid w:val="00950CAE"/>
    <w:rsid w:val="00951C02"/>
    <w:rsid w:val="00952E2D"/>
    <w:rsid w:val="00953F44"/>
    <w:rsid w:val="00954F00"/>
    <w:rsid w:val="00963F6E"/>
    <w:rsid w:val="00970EBE"/>
    <w:rsid w:val="009716DD"/>
    <w:rsid w:val="0097182B"/>
    <w:rsid w:val="00972638"/>
    <w:rsid w:val="00992190"/>
    <w:rsid w:val="00992715"/>
    <w:rsid w:val="00992757"/>
    <w:rsid w:val="009A0A7A"/>
    <w:rsid w:val="009A1BB7"/>
    <w:rsid w:val="009A37B4"/>
    <w:rsid w:val="009A5B7F"/>
    <w:rsid w:val="009B2267"/>
    <w:rsid w:val="009B241E"/>
    <w:rsid w:val="009B2778"/>
    <w:rsid w:val="009B67C7"/>
    <w:rsid w:val="009B7551"/>
    <w:rsid w:val="009C1554"/>
    <w:rsid w:val="009C18B1"/>
    <w:rsid w:val="009C2608"/>
    <w:rsid w:val="009C62B1"/>
    <w:rsid w:val="009C7ADA"/>
    <w:rsid w:val="009D429D"/>
    <w:rsid w:val="009D5455"/>
    <w:rsid w:val="009D6838"/>
    <w:rsid w:val="009E5281"/>
    <w:rsid w:val="009E5D83"/>
    <w:rsid w:val="009F0B8A"/>
    <w:rsid w:val="009F1088"/>
    <w:rsid w:val="00A04B0F"/>
    <w:rsid w:val="00A07EDE"/>
    <w:rsid w:val="00A11669"/>
    <w:rsid w:val="00A11C51"/>
    <w:rsid w:val="00A1388F"/>
    <w:rsid w:val="00A15731"/>
    <w:rsid w:val="00A15D50"/>
    <w:rsid w:val="00A16650"/>
    <w:rsid w:val="00A17066"/>
    <w:rsid w:val="00A215B6"/>
    <w:rsid w:val="00A27684"/>
    <w:rsid w:val="00A30F78"/>
    <w:rsid w:val="00A359EA"/>
    <w:rsid w:val="00A42211"/>
    <w:rsid w:val="00A440EC"/>
    <w:rsid w:val="00A447A8"/>
    <w:rsid w:val="00A507E6"/>
    <w:rsid w:val="00A570DD"/>
    <w:rsid w:val="00A624D8"/>
    <w:rsid w:val="00A62C83"/>
    <w:rsid w:val="00A644E9"/>
    <w:rsid w:val="00A7089A"/>
    <w:rsid w:val="00A733A5"/>
    <w:rsid w:val="00A740ED"/>
    <w:rsid w:val="00A91688"/>
    <w:rsid w:val="00A92E49"/>
    <w:rsid w:val="00A9494B"/>
    <w:rsid w:val="00A95803"/>
    <w:rsid w:val="00AA16DD"/>
    <w:rsid w:val="00AA3430"/>
    <w:rsid w:val="00AB3961"/>
    <w:rsid w:val="00AB3DE6"/>
    <w:rsid w:val="00AB607E"/>
    <w:rsid w:val="00AC1C15"/>
    <w:rsid w:val="00AC7D20"/>
    <w:rsid w:val="00AD2BF5"/>
    <w:rsid w:val="00AD5137"/>
    <w:rsid w:val="00AE3552"/>
    <w:rsid w:val="00AE42A1"/>
    <w:rsid w:val="00AE6606"/>
    <w:rsid w:val="00AE6962"/>
    <w:rsid w:val="00AE6C29"/>
    <w:rsid w:val="00AF4973"/>
    <w:rsid w:val="00B03B0F"/>
    <w:rsid w:val="00B04AE5"/>
    <w:rsid w:val="00B07A5B"/>
    <w:rsid w:val="00B10175"/>
    <w:rsid w:val="00B1132E"/>
    <w:rsid w:val="00B15FBC"/>
    <w:rsid w:val="00B21EC2"/>
    <w:rsid w:val="00B22A54"/>
    <w:rsid w:val="00B25DB0"/>
    <w:rsid w:val="00B25F5A"/>
    <w:rsid w:val="00B3210F"/>
    <w:rsid w:val="00B37109"/>
    <w:rsid w:val="00B43F6D"/>
    <w:rsid w:val="00B4428C"/>
    <w:rsid w:val="00B44F25"/>
    <w:rsid w:val="00B5390F"/>
    <w:rsid w:val="00B53987"/>
    <w:rsid w:val="00B5796F"/>
    <w:rsid w:val="00B6652C"/>
    <w:rsid w:val="00B67027"/>
    <w:rsid w:val="00B70BCA"/>
    <w:rsid w:val="00B770B1"/>
    <w:rsid w:val="00B8250B"/>
    <w:rsid w:val="00B91802"/>
    <w:rsid w:val="00B969B5"/>
    <w:rsid w:val="00B97B64"/>
    <w:rsid w:val="00BA23E3"/>
    <w:rsid w:val="00BA2B27"/>
    <w:rsid w:val="00BA5631"/>
    <w:rsid w:val="00BA601F"/>
    <w:rsid w:val="00BA6634"/>
    <w:rsid w:val="00BA6D58"/>
    <w:rsid w:val="00BB0B0B"/>
    <w:rsid w:val="00BB38BD"/>
    <w:rsid w:val="00BC24E3"/>
    <w:rsid w:val="00BC6024"/>
    <w:rsid w:val="00BC7A64"/>
    <w:rsid w:val="00BD0D77"/>
    <w:rsid w:val="00BD2929"/>
    <w:rsid w:val="00BD2FC4"/>
    <w:rsid w:val="00BF4972"/>
    <w:rsid w:val="00C0017A"/>
    <w:rsid w:val="00C13C38"/>
    <w:rsid w:val="00C15AD8"/>
    <w:rsid w:val="00C22CC7"/>
    <w:rsid w:val="00C23BF8"/>
    <w:rsid w:val="00C273CA"/>
    <w:rsid w:val="00C33780"/>
    <w:rsid w:val="00C4391F"/>
    <w:rsid w:val="00C45368"/>
    <w:rsid w:val="00C45A99"/>
    <w:rsid w:val="00C634B6"/>
    <w:rsid w:val="00C73F64"/>
    <w:rsid w:val="00C741EB"/>
    <w:rsid w:val="00C76983"/>
    <w:rsid w:val="00C80D23"/>
    <w:rsid w:val="00C8136A"/>
    <w:rsid w:val="00C875CA"/>
    <w:rsid w:val="00C87DE8"/>
    <w:rsid w:val="00C9273A"/>
    <w:rsid w:val="00C95690"/>
    <w:rsid w:val="00CA7E34"/>
    <w:rsid w:val="00CB2CE4"/>
    <w:rsid w:val="00CB64CF"/>
    <w:rsid w:val="00CC09DB"/>
    <w:rsid w:val="00CC3571"/>
    <w:rsid w:val="00CC597F"/>
    <w:rsid w:val="00CC60A2"/>
    <w:rsid w:val="00CC6A5A"/>
    <w:rsid w:val="00CC7D6B"/>
    <w:rsid w:val="00CD368C"/>
    <w:rsid w:val="00CE13CD"/>
    <w:rsid w:val="00CE2CBA"/>
    <w:rsid w:val="00CF3DBB"/>
    <w:rsid w:val="00CF49D0"/>
    <w:rsid w:val="00CF4BE3"/>
    <w:rsid w:val="00CF5A93"/>
    <w:rsid w:val="00CF68C9"/>
    <w:rsid w:val="00D06727"/>
    <w:rsid w:val="00D1125B"/>
    <w:rsid w:val="00D24FF4"/>
    <w:rsid w:val="00D25B7B"/>
    <w:rsid w:val="00D27C96"/>
    <w:rsid w:val="00D31CE5"/>
    <w:rsid w:val="00D34D80"/>
    <w:rsid w:val="00D37837"/>
    <w:rsid w:val="00D45D80"/>
    <w:rsid w:val="00D601B8"/>
    <w:rsid w:val="00D6393D"/>
    <w:rsid w:val="00D67BAD"/>
    <w:rsid w:val="00D702BB"/>
    <w:rsid w:val="00D8471E"/>
    <w:rsid w:val="00D91599"/>
    <w:rsid w:val="00D92C0C"/>
    <w:rsid w:val="00D968E6"/>
    <w:rsid w:val="00DA632E"/>
    <w:rsid w:val="00DA7982"/>
    <w:rsid w:val="00DB4E86"/>
    <w:rsid w:val="00DB64BF"/>
    <w:rsid w:val="00DC1CFE"/>
    <w:rsid w:val="00DC27B5"/>
    <w:rsid w:val="00DD2983"/>
    <w:rsid w:val="00DD2F74"/>
    <w:rsid w:val="00DD3FC7"/>
    <w:rsid w:val="00DD6620"/>
    <w:rsid w:val="00DF5DF5"/>
    <w:rsid w:val="00E024A7"/>
    <w:rsid w:val="00E0576A"/>
    <w:rsid w:val="00E06551"/>
    <w:rsid w:val="00E13B7A"/>
    <w:rsid w:val="00E157D1"/>
    <w:rsid w:val="00E17941"/>
    <w:rsid w:val="00E22B2D"/>
    <w:rsid w:val="00E37485"/>
    <w:rsid w:val="00E45991"/>
    <w:rsid w:val="00E551AF"/>
    <w:rsid w:val="00E55DD0"/>
    <w:rsid w:val="00E568D2"/>
    <w:rsid w:val="00E57FD1"/>
    <w:rsid w:val="00E71FBC"/>
    <w:rsid w:val="00E732A3"/>
    <w:rsid w:val="00E87A1C"/>
    <w:rsid w:val="00E92046"/>
    <w:rsid w:val="00E92AC5"/>
    <w:rsid w:val="00EA172D"/>
    <w:rsid w:val="00EA4197"/>
    <w:rsid w:val="00EB0AA1"/>
    <w:rsid w:val="00EB47DC"/>
    <w:rsid w:val="00EB660F"/>
    <w:rsid w:val="00EC2E87"/>
    <w:rsid w:val="00ED0147"/>
    <w:rsid w:val="00ED6ECE"/>
    <w:rsid w:val="00ED79FB"/>
    <w:rsid w:val="00EE20D0"/>
    <w:rsid w:val="00EE3548"/>
    <w:rsid w:val="00EE5BAE"/>
    <w:rsid w:val="00EF5CA7"/>
    <w:rsid w:val="00F0045B"/>
    <w:rsid w:val="00F061BE"/>
    <w:rsid w:val="00F06909"/>
    <w:rsid w:val="00F13AB6"/>
    <w:rsid w:val="00F13F1D"/>
    <w:rsid w:val="00F15EFC"/>
    <w:rsid w:val="00F2115F"/>
    <w:rsid w:val="00F22C78"/>
    <w:rsid w:val="00F26EC8"/>
    <w:rsid w:val="00F27193"/>
    <w:rsid w:val="00F3070C"/>
    <w:rsid w:val="00F335C0"/>
    <w:rsid w:val="00F340E8"/>
    <w:rsid w:val="00F40B35"/>
    <w:rsid w:val="00F41AF2"/>
    <w:rsid w:val="00F423D3"/>
    <w:rsid w:val="00F470FE"/>
    <w:rsid w:val="00F47FF2"/>
    <w:rsid w:val="00F520F0"/>
    <w:rsid w:val="00F53CEE"/>
    <w:rsid w:val="00F73201"/>
    <w:rsid w:val="00F74709"/>
    <w:rsid w:val="00F74A67"/>
    <w:rsid w:val="00F92D0F"/>
    <w:rsid w:val="00F96343"/>
    <w:rsid w:val="00F9787A"/>
    <w:rsid w:val="00F97918"/>
    <w:rsid w:val="00FA0225"/>
    <w:rsid w:val="00FA3B7A"/>
    <w:rsid w:val="00FA5FCB"/>
    <w:rsid w:val="00FA6B80"/>
    <w:rsid w:val="00FC13D1"/>
    <w:rsid w:val="00FC4383"/>
    <w:rsid w:val="00FC48EB"/>
    <w:rsid w:val="00FC5306"/>
    <w:rsid w:val="00FC664C"/>
    <w:rsid w:val="00FD154D"/>
    <w:rsid w:val="00FE3BF9"/>
    <w:rsid w:val="00FF0F55"/>
    <w:rsid w:val="00FF21CE"/>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A354"/>
  <w15:docId w15:val="{5D2D1BAC-1AD0-47C0-85BA-9F3C1C8D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C38"/>
  </w:style>
  <w:style w:type="paragraph" w:styleId="Heading3">
    <w:name w:val="heading 3"/>
    <w:basedOn w:val="Normal"/>
    <w:link w:val="Heading3Char"/>
    <w:uiPriority w:val="9"/>
    <w:qFormat/>
    <w:rsid w:val="006B69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74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7485"/>
    <w:rPr>
      <w:color w:val="0000FF"/>
      <w:u w:val="single"/>
    </w:rPr>
  </w:style>
  <w:style w:type="character" w:styleId="Emphasis">
    <w:name w:val="Emphasis"/>
    <w:basedOn w:val="DefaultParagraphFont"/>
    <w:uiPriority w:val="20"/>
    <w:qFormat/>
    <w:rsid w:val="00E37485"/>
    <w:rPr>
      <w:i/>
      <w:iCs/>
    </w:rPr>
  </w:style>
  <w:style w:type="paragraph" w:styleId="FootnoteText">
    <w:name w:val="footnote text"/>
    <w:basedOn w:val="Normal"/>
    <w:link w:val="FootnoteTextChar"/>
    <w:uiPriority w:val="99"/>
    <w:semiHidden/>
    <w:unhideWhenUsed/>
    <w:rsid w:val="000455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558B"/>
    <w:rPr>
      <w:sz w:val="20"/>
      <w:szCs w:val="20"/>
    </w:rPr>
  </w:style>
  <w:style w:type="character" w:styleId="FootnoteReference">
    <w:name w:val="footnote reference"/>
    <w:basedOn w:val="DefaultParagraphFont"/>
    <w:uiPriority w:val="99"/>
    <w:semiHidden/>
    <w:unhideWhenUsed/>
    <w:rsid w:val="0004558B"/>
    <w:rPr>
      <w:vertAlign w:val="superscript"/>
    </w:rPr>
  </w:style>
  <w:style w:type="character" w:customStyle="1" w:styleId="Heading3Char">
    <w:name w:val="Heading 3 Char"/>
    <w:basedOn w:val="DefaultParagraphFont"/>
    <w:link w:val="Heading3"/>
    <w:uiPriority w:val="9"/>
    <w:rsid w:val="006B69E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D4FAD"/>
    <w:rPr>
      <w:color w:val="954F72" w:themeColor="followedHyperlink"/>
      <w:u w:val="single"/>
    </w:rPr>
  </w:style>
  <w:style w:type="paragraph" w:styleId="PlainText">
    <w:name w:val="Plain Text"/>
    <w:basedOn w:val="Normal"/>
    <w:link w:val="PlainTextChar"/>
    <w:uiPriority w:val="99"/>
    <w:semiHidden/>
    <w:unhideWhenUsed/>
    <w:rsid w:val="0085003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5003B"/>
    <w:rPr>
      <w:rFonts w:ascii="Consolas" w:hAnsi="Consolas"/>
      <w:sz w:val="21"/>
      <w:szCs w:val="21"/>
    </w:rPr>
  </w:style>
  <w:style w:type="paragraph" w:styleId="EndnoteText">
    <w:name w:val="endnote text"/>
    <w:basedOn w:val="Normal"/>
    <w:link w:val="EndnoteTextChar"/>
    <w:uiPriority w:val="99"/>
    <w:semiHidden/>
    <w:unhideWhenUsed/>
    <w:rsid w:val="005863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6330"/>
    <w:rPr>
      <w:sz w:val="20"/>
      <w:szCs w:val="20"/>
    </w:rPr>
  </w:style>
  <w:style w:type="character" w:styleId="EndnoteReference">
    <w:name w:val="endnote reference"/>
    <w:basedOn w:val="DefaultParagraphFont"/>
    <w:uiPriority w:val="99"/>
    <w:semiHidden/>
    <w:unhideWhenUsed/>
    <w:rsid w:val="00586330"/>
    <w:rPr>
      <w:vertAlign w:val="superscript"/>
    </w:rPr>
  </w:style>
  <w:style w:type="paragraph" w:styleId="Header">
    <w:name w:val="header"/>
    <w:basedOn w:val="Normal"/>
    <w:link w:val="HeaderChar"/>
    <w:uiPriority w:val="99"/>
    <w:unhideWhenUsed/>
    <w:rsid w:val="00D45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D80"/>
  </w:style>
  <w:style w:type="paragraph" w:styleId="Footer">
    <w:name w:val="footer"/>
    <w:basedOn w:val="Normal"/>
    <w:link w:val="FooterChar"/>
    <w:uiPriority w:val="99"/>
    <w:unhideWhenUsed/>
    <w:rsid w:val="00D45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D80"/>
  </w:style>
  <w:style w:type="character" w:styleId="UnresolvedMention">
    <w:name w:val="Unresolved Mention"/>
    <w:basedOn w:val="DefaultParagraphFont"/>
    <w:uiPriority w:val="99"/>
    <w:semiHidden/>
    <w:unhideWhenUsed/>
    <w:rsid w:val="003A4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882">
      <w:bodyDiv w:val="1"/>
      <w:marLeft w:val="0"/>
      <w:marRight w:val="0"/>
      <w:marTop w:val="0"/>
      <w:marBottom w:val="0"/>
      <w:divBdr>
        <w:top w:val="none" w:sz="0" w:space="0" w:color="auto"/>
        <w:left w:val="none" w:sz="0" w:space="0" w:color="auto"/>
        <w:bottom w:val="none" w:sz="0" w:space="0" w:color="auto"/>
        <w:right w:val="none" w:sz="0" w:space="0" w:color="auto"/>
      </w:divBdr>
    </w:div>
    <w:div w:id="172375954">
      <w:bodyDiv w:val="1"/>
      <w:marLeft w:val="0"/>
      <w:marRight w:val="0"/>
      <w:marTop w:val="0"/>
      <w:marBottom w:val="0"/>
      <w:divBdr>
        <w:top w:val="none" w:sz="0" w:space="0" w:color="auto"/>
        <w:left w:val="none" w:sz="0" w:space="0" w:color="auto"/>
        <w:bottom w:val="none" w:sz="0" w:space="0" w:color="auto"/>
        <w:right w:val="none" w:sz="0" w:space="0" w:color="auto"/>
      </w:divBdr>
    </w:div>
    <w:div w:id="212665485">
      <w:bodyDiv w:val="1"/>
      <w:marLeft w:val="0"/>
      <w:marRight w:val="0"/>
      <w:marTop w:val="0"/>
      <w:marBottom w:val="0"/>
      <w:divBdr>
        <w:top w:val="none" w:sz="0" w:space="0" w:color="auto"/>
        <w:left w:val="none" w:sz="0" w:space="0" w:color="auto"/>
        <w:bottom w:val="none" w:sz="0" w:space="0" w:color="auto"/>
        <w:right w:val="none" w:sz="0" w:space="0" w:color="auto"/>
      </w:divBdr>
    </w:div>
    <w:div w:id="500434610">
      <w:bodyDiv w:val="1"/>
      <w:marLeft w:val="0"/>
      <w:marRight w:val="0"/>
      <w:marTop w:val="0"/>
      <w:marBottom w:val="0"/>
      <w:divBdr>
        <w:top w:val="none" w:sz="0" w:space="0" w:color="auto"/>
        <w:left w:val="none" w:sz="0" w:space="0" w:color="auto"/>
        <w:bottom w:val="none" w:sz="0" w:space="0" w:color="auto"/>
        <w:right w:val="none" w:sz="0" w:space="0" w:color="auto"/>
      </w:divBdr>
    </w:div>
    <w:div w:id="1118380632">
      <w:bodyDiv w:val="1"/>
      <w:marLeft w:val="0"/>
      <w:marRight w:val="0"/>
      <w:marTop w:val="0"/>
      <w:marBottom w:val="0"/>
      <w:divBdr>
        <w:top w:val="none" w:sz="0" w:space="0" w:color="auto"/>
        <w:left w:val="none" w:sz="0" w:space="0" w:color="auto"/>
        <w:bottom w:val="none" w:sz="0" w:space="0" w:color="auto"/>
        <w:right w:val="none" w:sz="0" w:space="0" w:color="auto"/>
      </w:divBdr>
    </w:div>
    <w:div w:id="1950509883">
      <w:bodyDiv w:val="1"/>
      <w:marLeft w:val="0"/>
      <w:marRight w:val="0"/>
      <w:marTop w:val="0"/>
      <w:marBottom w:val="0"/>
      <w:divBdr>
        <w:top w:val="none" w:sz="0" w:space="0" w:color="auto"/>
        <w:left w:val="none" w:sz="0" w:space="0" w:color="auto"/>
        <w:bottom w:val="none" w:sz="0" w:space="0" w:color="auto"/>
        <w:right w:val="none" w:sz="0" w:space="0" w:color="auto"/>
      </w:divBdr>
    </w:div>
    <w:div w:id="205620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pmc/articles/PMC2862336/" TargetMode="External"/><Relationship Id="rId1" Type="http://schemas.openxmlformats.org/officeDocument/2006/relationships/hyperlink" Target="https://exhibitions.nysm.nysed.gov/albany/bios/s/brschuyler109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C7282-F9D2-4278-ABF8-5E1724B3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21666</TotalTime>
  <Pages>18</Pages>
  <Words>6375</Words>
  <Characters>36341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Tauber</dc:creator>
  <cp:keywords/>
  <dc:description/>
  <cp:lastModifiedBy>Gilbert Tauber</cp:lastModifiedBy>
  <cp:revision>16</cp:revision>
  <dcterms:created xsi:type="dcterms:W3CDTF">2021-04-05T00:25:00Z</dcterms:created>
  <dcterms:modified xsi:type="dcterms:W3CDTF">2023-03-20T17:35:00Z</dcterms:modified>
</cp:coreProperties>
</file>